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07151" w:rsidRDefault="00D07151">
      <w:pPr>
        <w:spacing w:line="240" w:lineRule="auto"/>
        <w:jc w:val="center"/>
        <w:rPr>
          <w:rFonts w:ascii="Times New Roman" w:eastAsia="Times New Roman" w:hAnsi="Times New Roman" w:cs="Times New Roman"/>
          <w:b/>
          <w:sz w:val="24"/>
          <w:szCs w:val="24"/>
        </w:rPr>
      </w:pPr>
    </w:p>
    <w:p w14:paraId="00000002" w14:textId="77777777" w:rsidR="00D07151" w:rsidRDefault="00D07151">
      <w:pPr>
        <w:spacing w:line="240" w:lineRule="auto"/>
        <w:jc w:val="center"/>
        <w:rPr>
          <w:rFonts w:ascii="Times New Roman" w:eastAsia="Times New Roman" w:hAnsi="Times New Roman" w:cs="Times New Roman"/>
          <w:b/>
          <w:sz w:val="24"/>
          <w:szCs w:val="24"/>
        </w:rPr>
      </w:pPr>
    </w:p>
    <w:p w14:paraId="00000003" w14:textId="77777777" w:rsidR="00D07151" w:rsidRDefault="0052109B">
      <w:pPr>
        <w:jc w:val="center"/>
        <w:rPr>
          <w:b/>
          <w:sz w:val="24"/>
          <w:szCs w:val="24"/>
        </w:rPr>
      </w:pPr>
      <w:r>
        <w:rPr>
          <w:rFonts w:ascii="Arial" w:eastAsia="Arial" w:hAnsi="Arial" w:cs="Arial"/>
          <w:b/>
          <w:sz w:val="24"/>
          <w:szCs w:val="24"/>
        </w:rPr>
        <w:t>Коалиција „Сексуални и здравствени права на маргинализираните заедници“ –</w:t>
      </w:r>
      <w:r>
        <w:rPr>
          <w:b/>
          <w:sz w:val="24"/>
          <w:szCs w:val="24"/>
        </w:rPr>
        <w:t xml:space="preserve"> МАРГИНИ - </w:t>
      </w:r>
    </w:p>
    <w:p w14:paraId="00000004" w14:textId="77777777" w:rsidR="00D07151" w:rsidRDefault="00D07151">
      <w:pPr>
        <w:spacing w:line="240" w:lineRule="auto"/>
        <w:jc w:val="center"/>
        <w:rPr>
          <w:rFonts w:ascii="Times New Roman" w:eastAsia="Times New Roman" w:hAnsi="Times New Roman" w:cs="Times New Roman"/>
          <w:b/>
          <w:sz w:val="24"/>
          <w:szCs w:val="24"/>
        </w:rPr>
      </w:pPr>
    </w:p>
    <w:p w14:paraId="00000005" w14:textId="77777777" w:rsidR="00D07151" w:rsidRDefault="00D07151">
      <w:pPr>
        <w:spacing w:line="240" w:lineRule="auto"/>
        <w:jc w:val="center"/>
        <w:rPr>
          <w:rFonts w:ascii="Times New Roman" w:eastAsia="Times New Roman" w:hAnsi="Times New Roman" w:cs="Times New Roman"/>
          <w:b/>
          <w:sz w:val="24"/>
          <w:szCs w:val="24"/>
        </w:rPr>
      </w:pPr>
    </w:p>
    <w:p w14:paraId="00000006" w14:textId="7530CF3D" w:rsidR="00D07151" w:rsidRDefault="00D07151">
      <w:pPr>
        <w:spacing w:line="240" w:lineRule="auto"/>
        <w:jc w:val="center"/>
        <w:rPr>
          <w:rFonts w:ascii="Times New Roman" w:eastAsia="Times New Roman" w:hAnsi="Times New Roman" w:cs="Times New Roman"/>
          <w:b/>
          <w:sz w:val="24"/>
          <w:szCs w:val="24"/>
        </w:rPr>
      </w:pPr>
    </w:p>
    <w:p w14:paraId="6C8B48AD" w14:textId="1487023D" w:rsidR="007C753F" w:rsidRDefault="007C753F">
      <w:pPr>
        <w:spacing w:line="240" w:lineRule="auto"/>
        <w:jc w:val="center"/>
        <w:rPr>
          <w:rFonts w:ascii="Times New Roman" w:eastAsia="Times New Roman" w:hAnsi="Times New Roman" w:cs="Times New Roman"/>
          <w:b/>
          <w:sz w:val="24"/>
          <w:szCs w:val="24"/>
        </w:rPr>
      </w:pPr>
    </w:p>
    <w:p w14:paraId="1A6D9F6D" w14:textId="77777777" w:rsidR="007C753F" w:rsidRDefault="007C753F">
      <w:pPr>
        <w:spacing w:line="240" w:lineRule="auto"/>
        <w:jc w:val="center"/>
        <w:rPr>
          <w:rFonts w:ascii="Times New Roman" w:eastAsia="Times New Roman" w:hAnsi="Times New Roman" w:cs="Times New Roman"/>
          <w:b/>
          <w:sz w:val="24"/>
          <w:szCs w:val="24"/>
        </w:rPr>
      </w:pPr>
    </w:p>
    <w:p w14:paraId="00000007" w14:textId="77777777" w:rsidR="00D07151" w:rsidRDefault="00D07151">
      <w:pPr>
        <w:spacing w:line="240" w:lineRule="auto"/>
        <w:jc w:val="center"/>
        <w:rPr>
          <w:rFonts w:ascii="Times New Roman" w:eastAsia="Times New Roman" w:hAnsi="Times New Roman" w:cs="Times New Roman"/>
          <w:b/>
          <w:sz w:val="24"/>
          <w:szCs w:val="24"/>
        </w:rPr>
      </w:pPr>
    </w:p>
    <w:p w14:paraId="00000008" w14:textId="23F1D5C6" w:rsidR="00D07151" w:rsidRPr="00F04E03" w:rsidRDefault="00D07151">
      <w:pPr>
        <w:spacing w:line="240" w:lineRule="auto"/>
        <w:jc w:val="right"/>
        <w:rPr>
          <w:rFonts w:ascii="Times New Roman" w:eastAsia="Times New Roman" w:hAnsi="Times New Roman" w:cs="Times New Roman"/>
          <w:b/>
          <w:sz w:val="24"/>
          <w:szCs w:val="24"/>
          <w:lang w:val="en-GB"/>
        </w:rPr>
      </w:pPr>
    </w:p>
    <w:p w14:paraId="00000009" w14:textId="77777777" w:rsidR="00D07151" w:rsidRDefault="00D07151">
      <w:pPr>
        <w:spacing w:line="240" w:lineRule="auto"/>
        <w:jc w:val="center"/>
        <w:rPr>
          <w:rFonts w:ascii="Times New Roman" w:eastAsia="Times New Roman" w:hAnsi="Times New Roman" w:cs="Times New Roman"/>
          <w:b/>
          <w:sz w:val="24"/>
          <w:szCs w:val="24"/>
        </w:rPr>
      </w:pPr>
    </w:p>
    <w:p w14:paraId="0000000A" w14:textId="77777777" w:rsidR="00D07151" w:rsidRDefault="00D07151">
      <w:pPr>
        <w:spacing w:line="240" w:lineRule="auto"/>
        <w:jc w:val="center"/>
        <w:rPr>
          <w:rFonts w:ascii="Times New Roman" w:eastAsia="Times New Roman" w:hAnsi="Times New Roman" w:cs="Times New Roman"/>
          <w:b/>
          <w:sz w:val="24"/>
          <w:szCs w:val="24"/>
        </w:rPr>
      </w:pPr>
    </w:p>
    <w:p w14:paraId="0000000B" w14:textId="01646210" w:rsidR="00D07151" w:rsidRDefault="00D07151">
      <w:pPr>
        <w:spacing w:line="240" w:lineRule="auto"/>
        <w:jc w:val="center"/>
        <w:rPr>
          <w:b/>
          <w:sz w:val="24"/>
          <w:szCs w:val="24"/>
        </w:rPr>
      </w:pPr>
    </w:p>
    <w:p w14:paraId="0312B6D0" w14:textId="65B907A7" w:rsidR="007C753F" w:rsidRDefault="007C753F">
      <w:pPr>
        <w:spacing w:line="240" w:lineRule="auto"/>
        <w:jc w:val="center"/>
        <w:rPr>
          <w:b/>
          <w:sz w:val="24"/>
          <w:szCs w:val="24"/>
        </w:rPr>
      </w:pPr>
    </w:p>
    <w:p w14:paraId="06677E3E" w14:textId="77777777" w:rsidR="007C753F" w:rsidRDefault="007C753F">
      <w:pPr>
        <w:spacing w:line="240" w:lineRule="auto"/>
        <w:jc w:val="center"/>
        <w:rPr>
          <w:b/>
          <w:sz w:val="24"/>
          <w:szCs w:val="24"/>
        </w:rPr>
      </w:pPr>
    </w:p>
    <w:p w14:paraId="0000000C" w14:textId="77777777" w:rsidR="00D07151" w:rsidRDefault="00D07151">
      <w:pPr>
        <w:spacing w:line="240" w:lineRule="auto"/>
        <w:jc w:val="center"/>
        <w:rPr>
          <w:b/>
          <w:sz w:val="24"/>
          <w:szCs w:val="24"/>
        </w:rPr>
      </w:pPr>
    </w:p>
    <w:p w14:paraId="0000000D" w14:textId="6FAE85F2" w:rsidR="00D07151" w:rsidRDefault="009F4F2F">
      <w:pPr>
        <w:spacing w:line="240" w:lineRule="auto"/>
        <w:jc w:val="center"/>
        <w:rPr>
          <w:b/>
          <w:sz w:val="24"/>
          <w:szCs w:val="24"/>
        </w:rPr>
      </w:pPr>
      <w:r>
        <w:rPr>
          <w:b/>
          <w:sz w:val="24"/>
          <w:szCs w:val="24"/>
        </w:rPr>
        <w:t xml:space="preserve">РАМКА ЗА ЗАСТАПУВАЊЕ ВО ОБЛАСТА НА ЕДНАКВОСТА И НЕДИСКРИМИНАЦИЈАТА </w:t>
      </w:r>
    </w:p>
    <w:p w14:paraId="0000000E" w14:textId="2A2C4BE6" w:rsidR="00D07151" w:rsidRDefault="009F4F2F">
      <w:pPr>
        <w:spacing w:line="240" w:lineRule="auto"/>
        <w:jc w:val="center"/>
        <w:rPr>
          <w:b/>
          <w:sz w:val="24"/>
          <w:szCs w:val="24"/>
        </w:rPr>
      </w:pPr>
      <w:r>
        <w:rPr>
          <w:b/>
          <w:sz w:val="24"/>
          <w:szCs w:val="24"/>
        </w:rPr>
        <w:t>202</w:t>
      </w:r>
      <w:r w:rsidR="003D1C10">
        <w:rPr>
          <w:b/>
          <w:sz w:val="24"/>
          <w:szCs w:val="24"/>
          <w:lang w:val="en-GB"/>
        </w:rPr>
        <w:t>2</w:t>
      </w:r>
      <w:r w:rsidR="00757A6B">
        <w:rPr>
          <w:b/>
          <w:sz w:val="24"/>
          <w:szCs w:val="24"/>
        </w:rPr>
        <w:t xml:space="preserve"> – 202</w:t>
      </w:r>
      <w:r w:rsidR="001E2C81">
        <w:rPr>
          <w:b/>
          <w:sz w:val="24"/>
          <w:szCs w:val="24"/>
          <w:lang w:val="en-GB"/>
        </w:rPr>
        <w:t>5</w:t>
      </w:r>
      <w:r w:rsidR="0052109B">
        <w:rPr>
          <w:b/>
          <w:sz w:val="24"/>
          <w:szCs w:val="24"/>
        </w:rPr>
        <w:t xml:space="preserve"> година </w:t>
      </w:r>
    </w:p>
    <w:p w14:paraId="0000000F" w14:textId="77777777" w:rsidR="00D07151" w:rsidRDefault="00D07151">
      <w:pPr>
        <w:spacing w:line="240" w:lineRule="auto"/>
        <w:rPr>
          <w:b/>
          <w:sz w:val="24"/>
          <w:szCs w:val="24"/>
        </w:rPr>
      </w:pPr>
    </w:p>
    <w:p w14:paraId="00000010" w14:textId="77777777" w:rsidR="00D07151" w:rsidRDefault="00D07151">
      <w:pPr>
        <w:spacing w:line="240" w:lineRule="auto"/>
        <w:rPr>
          <w:b/>
          <w:sz w:val="24"/>
          <w:szCs w:val="24"/>
        </w:rPr>
      </w:pPr>
    </w:p>
    <w:p w14:paraId="00000011" w14:textId="77777777" w:rsidR="00D07151" w:rsidRDefault="00D07151">
      <w:pPr>
        <w:spacing w:line="240" w:lineRule="auto"/>
        <w:rPr>
          <w:b/>
          <w:sz w:val="24"/>
          <w:szCs w:val="24"/>
        </w:rPr>
      </w:pPr>
    </w:p>
    <w:p w14:paraId="00000012" w14:textId="77777777" w:rsidR="00D07151" w:rsidRDefault="00D07151">
      <w:pPr>
        <w:spacing w:line="240" w:lineRule="auto"/>
        <w:rPr>
          <w:b/>
          <w:sz w:val="24"/>
          <w:szCs w:val="24"/>
        </w:rPr>
      </w:pPr>
    </w:p>
    <w:p w14:paraId="00000013" w14:textId="40789919" w:rsidR="00D07151" w:rsidRDefault="00D07151">
      <w:pPr>
        <w:spacing w:line="240" w:lineRule="auto"/>
        <w:rPr>
          <w:b/>
          <w:sz w:val="24"/>
          <w:szCs w:val="24"/>
        </w:rPr>
      </w:pPr>
    </w:p>
    <w:p w14:paraId="6D9620BB" w14:textId="6308C4A0" w:rsidR="007C753F" w:rsidRDefault="007C753F">
      <w:pPr>
        <w:spacing w:line="240" w:lineRule="auto"/>
        <w:rPr>
          <w:b/>
          <w:sz w:val="24"/>
          <w:szCs w:val="24"/>
        </w:rPr>
      </w:pPr>
    </w:p>
    <w:p w14:paraId="626C17D9" w14:textId="67DBC4FC" w:rsidR="007C753F" w:rsidRDefault="007C753F">
      <w:pPr>
        <w:spacing w:line="240" w:lineRule="auto"/>
        <w:rPr>
          <w:b/>
          <w:sz w:val="24"/>
          <w:szCs w:val="24"/>
        </w:rPr>
      </w:pPr>
    </w:p>
    <w:p w14:paraId="7520D9A0" w14:textId="77777777" w:rsidR="007C753F" w:rsidRDefault="007C753F">
      <w:pPr>
        <w:spacing w:line="240" w:lineRule="auto"/>
        <w:rPr>
          <w:b/>
          <w:sz w:val="24"/>
          <w:szCs w:val="24"/>
        </w:rPr>
      </w:pPr>
    </w:p>
    <w:p w14:paraId="00000014" w14:textId="77777777" w:rsidR="00D07151" w:rsidRDefault="00D07151">
      <w:pPr>
        <w:spacing w:line="240" w:lineRule="auto"/>
        <w:rPr>
          <w:b/>
          <w:sz w:val="24"/>
          <w:szCs w:val="24"/>
        </w:rPr>
      </w:pPr>
    </w:p>
    <w:p w14:paraId="00000015" w14:textId="77777777" w:rsidR="00D07151" w:rsidRDefault="00D07151">
      <w:pPr>
        <w:spacing w:line="240" w:lineRule="auto"/>
        <w:rPr>
          <w:b/>
          <w:sz w:val="24"/>
          <w:szCs w:val="24"/>
        </w:rPr>
      </w:pPr>
    </w:p>
    <w:p w14:paraId="00000016" w14:textId="593852DD" w:rsidR="00D07151" w:rsidRPr="00137202" w:rsidRDefault="0052109B">
      <w:pPr>
        <w:spacing w:line="240" w:lineRule="auto"/>
        <w:jc w:val="center"/>
        <w:rPr>
          <w:b/>
          <w:sz w:val="24"/>
          <w:szCs w:val="24"/>
        </w:rPr>
      </w:pPr>
      <w:r>
        <w:rPr>
          <w:b/>
          <w:sz w:val="24"/>
          <w:szCs w:val="24"/>
        </w:rPr>
        <w:t>Скопје, октомври 2021</w:t>
      </w:r>
      <w:r w:rsidR="005275ED">
        <w:rPr>
          <w:b/>
          <w:sz w:val="24"/>
          <w:szCs w:val="24"/>
          <w:lang w:val="sr-Latn-RS"/>
        </w:rPr>
        <w:t xml:space="preserve"> </w:t>
      </w:r>
      <w:r w:rsidR="00137202">
        <w:rPr>
          <w:b/>
          <w:sz w:val="24"/>
          <w:szCs w:val="24"/>
        </w:rPr>
        <w:t>година</w:t>
      </w:r>
    </w:p>
    <w:p w14:paraId="00000017" w14:textId="12D1630C" w:rsidR="00D07151" w:rsidRDefault="00D07151">
      <w:pPr>
        <w:spacing w:line="240" w:lineRule="auto"/>
        <w:rPr>
          <w:b/>
          <w:sz w:val="24"/>
          <w:szCs w:val="24"/>
        </w:rPr>
      </w:pPr>
    </w:p>
    <w:p w14:paraId="05D1872C" w14:textId="77777777" w:rsidR="009F4F2F" w:rsidRDefault="009F4F2F">
      <w:pPr>
        <w:spacing w:line="240" w:lineRule="auto"/>
        <w:rPr>
          <w:b/>
          <w:sz w:val="24"/>
          <w:szCs w:val="24"/>
        </w:rPr>
      </w:pPr>
    </w:p>
    <w:p w14:paraId="00000018" w14:textId="77777777" w:rsidR="00D07151" w:rsidRDefault="00D07151">
      <w:pPr>
        <w:spacing w:line="240" w:lineRule="auto"/>
        <w:rPr>
          <w:b/>
          <w:sz w:val="24"/>
          <w:szCs w:val="24"/>
        </w:rPr>
      </w:pPr>
    </w:p>
    <w:p w14:paraId="00000019" w14:textId="77777777" w:rsidR="00D07151" w:rsidRDefault="00D07151">
      <w:pPr>
        <w:spacing w:line="240" w:lineRule="auto"/>
        <w:rPr>
          <w:b/>
          <w:sz w:val="24"/>
          <w:szCs w:val="24"/>
        </w:rPr>
      </w:pPr>
    </w:p>
    <w:p w14:paraId="00000021" w14:textId="6567890D" w:rsidR="00D07151" w:rsidRDefault="00D07151">
      <w:pPr>
        <w:rPr>
          <w:rFonts w:ascii="Arial Narrow" w:eastAsia="Arial Narrow" w:hAnsi="Arial Narrow" w:cs="Arial Narrow"/>
        </w:rPr>
        <w:sectPr w:rsidR="00D07151">
          <w:headerReference w:type="default" r:id="rId10"/>
          <w:footerReference w:type="default" r:id="rId11"/>
          <w:pgSz w:w="11906" w:h="16838"/>
          <w:pgMar w:top="720" w:right="720" w:bottom="720" w:left="720" w:header="283" w:footer="283" w:gutter="0"/>
          <w:pgNumType w:start="1"/>
          <w:cols w:space="720"/>
        </w:sectPr>
      </w:pPr>
    </w:p>
    <w:p w14:paraId="00000023" w14:textId="4E4A0EAA" w:rsidR="00D07151" w:rsidRDefault="007C753F">
      <w:pPr>
        <w:keepNext/>
        <w:keepLines/>
        <w:pBdr>
          <w:top w:val="nil"/>
          <w:left w:val="nil"/>
          <w:bottom w:val="nil"/>
          <w:right w:val="nil"/>
          <w:between w:val="nil"/>
        </w:pBdr>
        <w:spacing w:before="240" w:after="0"/>
        <w:rPr>
          <w:color w:val="2E75B5"/>
          <w:sz w:val="32"/>
          <w:szCs w:val="32"/>
        </w:rPr>
      </w:pPr>
      <w:r>
        <w:rPr>
          <w:color w:val="2E75B5"/>
          <w:sz w:val="32"/>
          <w:szCs w:val="32"/>
        </w:rPr>
        <w:lastRenderedPageBreak/>
        <w:t xml:space="preserve">Содржина </w:t>
      </w:r>
    </w:p>
    <w:sdt>
      <w:sdtPr>
        <w:id w:val="-1883694167"/>
        <w:docPartObj>
          <w:docPartGallery w:val="Table of Contents"/>
          <w:docPartUnique/>
        </w:docPartObj>
      </w:sdtPr>
      <w:sdtEndPr/>
      <w:sdtContent>
        <w:p w14:paraId="31F818F7" w14:textId="3A290ABE" w:rsidR="00FF3B57" w:rsidRDefault="0052109B">
          <w:pPr>
            <w:pStyle w:val="TOC1"/>
            <w:rPr>
              <w:rFonts w:asciiTheme="minorHAnsi" w:eastAsiaTheme="minorEastAsia" w:hAnsiTheme="minorHAnsi" w:cstheme="minorBidi"/>
              <w:noProof/>
              <w:lang w:val="en-GB"/>
            </w:rPr>
          </w:pPr>
          <w:r>
            <w:fldChar w:fldCharType="begin"/>
          </w:r>
          <w:r>
            <w:instrText xml:space="preserve"> TOC \h \u \z </w:instrText>
          </w:r>
          <w:r>
            <w:fldChar w:fldCharType="separate"/>
          </w:r>
          <w:hyperlink w:anchor="_Toc88737878" w:history="1">
            <w:r w:rsidR="00FF3B57" w:rsidRPr="009647D4">
              <w:rPr>
                <w:rStyle w:val="Hyperlink"/>
                <w:noProof/>
              </w:rPr>
              <w:t>Список на кратенки</w:t>
            </w:r>
            <w:r w:rsidR="00FF3B57">
              <w:rPr>
                <w:noProof/>
                <w:webHidden/>
              </w:rPr>
              <w:tab/>
            </w:r>
            <w:r w:rsidR="00FF3B57">
              <w:rPr>
                <w:noProof/>
                <w:webHidden/>
              </w:rPr>
              <w:fldChar w:fldCharType="begin"/>
            </w:r>
            <w:r w:rsidR="00FF3B57">
              <w:rPr>
                <w:noProof/>
                <w:webHidden/>
              </w:rPr>
              <w:instrText xml:space="preserve"> PAGEREF _Toc88737878 \h </w:instrText>
            </w:r>
            <w:r w:rsidR="00FF3B57">
              <w:rPr>
                <w:noProof/>
                <w:webHidden/>
              </w:rPr>
            </w:r>
            <w:r w:rsidR="00FF3B57">
              <w:rPr>
                <w:noProof/>
                <w:webHidden/>
              </w:rPr>
              <w:fldChar w:fldCharType="separate"/>
            </w:r>
            <w:r w:rsidR="00FF3B57">
              <w:rPr>
                <w:noProof/>
                <w:webHidden/>
              </w:rPr>
              <w:t>2</w:t>
            </w:r>
            <w:r w:rsidR="00FF3B57">
              <w:rPr>
                <w:noProof/>
                <w:webHidden/>
              </w:rPr>
              <w:fldChar w:fldCharType="end"/>
            </w:r>
          </w:hyperlink>
        </w:p>
        <w:p w14:paraId="15E29127" w14:textId="366D56B9" w:rsidR="00FF3B57" w:rsidRDefault="008E4CE2">
          <w:pPr>
            <w:pStyle w:val="TOC1"/>
            <w:rPr>
              <w:rFonts w:asciiTheme="minorHAnsi" w:eastAsiaTheme="minorEastAsia" w:hAnsiTheme="minorHAnsi" w:cstheme="minorBidi"/>
              <w:noProof/>
              <w:lang w:val="en-GB"/>
            </w:rPr>
          </w:pPr>
          <w:hyperlink w:anchor="_Toc88737879" w:history="1">
            <w:r w:rsidR="00FF3B57" w:rsidRPr="009647D4">
              <w:rPr>
                <w:rStyle w:val="Hyperlink"/>
                <w:noProof/>
              </w:rPr>
              <w:t>Introduction</w:t>
            </w:r>
            <w:r w:rsidR="00FF3B57">
              <w:rPr>
                <w:noProof/>
                <w:webHidden/>
              </w:rPr>
              <w:tab/>
            </w:r>
            <w:r w:rsidR="00FF3B57">
              <w:rPr>
                <w:noProof/>
                <w:webHidden/>
              </w:rPr>
              <w:fldChar w:fldCharType="begin"/>
            </w:r>
            <w:r w:rsidR="00FF3B57">
              <w:rPr>
                <w:noProof/>
                <w:webHidden/>
              </w:rPr>
              <w:instrText xml:space="preserve"> PAGEREF _Toc88737879 \h </w:instrText>
            </w:r>
            <w:r w:rsidR="00FF3B57">
              <w:rPr>
                <w:noProof/>
                <w:webHidden/>
              </w:rPr>
            </w:r>
            <w:r w:rsidR="00FF3B57">
              <w:rPr>
                <w:noProof/>
                <w:webHidden/>
              </w:rPr>
              <w:fldChar w:fldCharType="separate"/>
            </w:r>
            <w:r w:rsidR="00FF3B57">
              <w:rPr>
                <w:noProof/>
                <w:webHidden/>
              </w:rPr>
              <w:t>3</w:t>
            </w:r>
            <w:r w:rsidR="00FF3B57">
              <w:rPr>
                <w:noProof/>
                <w:webHidden/>
              </w:rPr>
              <w:fldChar w:fldCharType="end"/>
            </w:r>
          </w:hyperlink>
        </w:p>
        <w:p w14:paraId="2FE73B58" w14:textId="0444C904" w:rsidR="00FF3B57" w:rsidRDefault="008E4CE2">
          <w:pPr>
            <w:pStyle w:val="TOC1"/>
            <w:rPr>
              <w:rFonts w:asciiTheme="minorHAnsi" w:eastAsiaTheme="minorEastAsia" w:hAnsiTheme="minorHAnsi" w:cstheme="minorBidi"/>
              <w:noProof/>
              <w:lang w:val="en-GB"/>
            </w:rPr>
          </w:pPr>
          <w:hyperlink w:anchor="_Toc88737880" w:history="1">
            <w:r w:rsidR="00FF3B57" w:rsidRPr="009647D4">
              <w:rPr>
                <w:rStyle w:val="Hyperlink"/>
                <w:noProof/>
              </w:rPr>
              <w:t>Глобална и европска рамка</w:t>
            </w:r>
            <w:r w:rsidR="00FF3B57">
              <w:rPr>
                <w:noProof/>
                <w:webHidden/>
              </w:rPr>
              <w:tab/>
            </w:r>
            <w:r w:rsidR="00FF3B57">
              <w:rPr>
                <w:noProof/>
                <w:webHidden/>
              </w:rPr>
              <w:fldChar w:fldCharType="begin"/>
            </w:r>
            <w:r w:rsidR="00FF3B57">
              <w:rPr>
                <w:noProof/>
                <w:webHidden/>
              </w:rPr>
              <w:instrText xml:space="preserve"> PAGEREF _Toc88737880 \h </w:instrText>
            </w:r>
            <w:r w:rsidR="00FF3B57">
              <w:rPr>
                <w:noProof/>
                <w:webHidden/>
              </w:rPr>
            </w:r>
            <w:r w:rsidR="00FF3B57">
              <w:rPr>
                <w:noProof/>
                <w:webHidden/>
              </w:rPr>
              <w:fldChar w:fldCharType="separate"/>
            </w:r>
            <w:r w:rsidR="00FF3B57">
              <w:rPr>
                <w:noProof/>
                <w:webHidden/>
              </w:rPr>
              <w:t>4</w:t>
            </w:r>
            <w:r w:rsidR="00FF3B57">
              <w:rPr>
                <w:noProof/>
                <w:webHidden/>
              </w:rPr>
              <w:fldChar w:fldCharType="end"/>
            </w:r>
          </w:hyperlink>
        </w:p>
        <w:p w14:paraId="54DC5EF5" w14:textId="7D5D27AA" w:rsidR="00FF3B57" w:rsidRDefault="008E4CE2">
          <w:pPr>
            <w:pStyle w:val="TOC1"/>
            <w:rPr>
              <w:rFonts w:asciiTheme="minorHAnsi" w:eastAsiaTheme="minorEastAsia" w:hAnsiTheme="minorHAnsi" w:cstheme="minorBidi"/>
              <w:noProof/>
              <w:lang w:val="en-GB"/>
            </w:rPr>
          </w:pPr>
          <w:hyperlink w:anchor="_Toc88737881" w:history="1">
            <w:r w:rsidR="00FF3B57" w:rsidRPr="009647D4">
              <w:rPr>
                <w:rStyle w:val="Hyperlink"/>
                <w:noProof/>
              </w:rPr>
              <w:t>Рамка за застапување – теми и аргументи</w:t>
            </w:r>
            <w:r w:rsidR="00FF3B57">
              <w:rPr>
                <w:noProof/>
                <w:webHidden/>
              </w:rPr>
              <w:tab/>
            </w:r>
            <w:r w:rsidR="00FF3B57">
              <w:rPr>
                <w:noProof/>
                <w:webHidden/>
              </w:rPr>
              <w:fldChar w:fldCharType="begin"/>
            </w:r>
            <w:r w:rsidR="00FF3B57">
              <w:rPr>
                <w:noProof/>
                <w:webHidden/>
              </w:rPr>
              <w:instrText xml:space="preserve"> PAGEREF _Toc88737881 \h </w:instrText>
            </w:r>
            <w:r w:rsidR="00FF3B57">
              <w:rPr>
                <w:noProof/>
                <w:webHidden/>
              </w:rPr>
            </w:r>
            <w:r w:rsidR="00FF3B57">
              <w:rPr>
                <w:noProof/>
                <w:webHidden/>
              </w:rPr>
              <w:fldChar w:fldCharType="separate"/>
            </w:r>
            <w:r w:rsidR="00FF3B57">
              <w:rPr>
                <w:noProof/>
                <w:webHidden/>
              </w:rPr>
              <w:t>7</w:t>
            </w:r>
            <w:r w:rsidR="00FF3B57">
              <w:rPr>
                <w:noProof/>
                <w:webHidden/>
              </w:rPr>
              <w:fldChar w:fldCharType="end"/>
            </w:r>
          </w:hyperlink>
        </w:p>
        <w:p w14:paraId="2533BB7E" w14:textId="475236C0" w:rsidR="00FF3B57" w:rsidRDefault="008E4CE2">
          <w:pPr>
            <w:pStyle w:val="TOC2"/>
            <w:tabs>
              <w:tab w:val="left" w:pos="660"/>
              <w:tab w:val="right" w:pos="10456"/>
            </w:tabs>
            <w:rPr>
              <w:rFonts w:asciiTheme="minorHAnsi" w:eastAsiaTheme="minorEastAsia" w:hAnsiTheme="minorHAnsi" w:cstheme="minorBidi"/>
              <w:noProof/>
              <w:lang w:val="en-GB"/>
            </w:rPr>
          </w:pPr>
          <w:hyperlink w:anchor="_Toc88737882" w:history="1">
            <w:r w:rsidR="00FF3B57" w:rsidRPr="009647D4">
              <w:rPr>
                <w:rStyle w:val="Hyperlink"/>
                <w:noProof/>
              </w:rPr>
              <w:t>1.</w:t>
            </w:r>
            <w:r w:rsidR="00FF3B57">
              <w:rPr>
                <w:rFonts w:asciiTheme="minorHAnsi" w:eastAsiaTheme="minorEastAsia" w:hAnsiTheme="minorHAnsi" w:cstheme="minorBidi"/>
                <w:noProof/>
                <w:lang w:val="en-GB"/>
              </w:rPr>
              <w:tab/>
            </w:r>
            <w:r w:rsidR="00FF3B57" w:rsidRPr="009647D4">
              <w:rPr>
                <w:rStyle w:val="Hyperlink"/>
                <w:noProof/>
              </w:rPr>
              <w:t>Дискриминаторски и родово-стереотипни содржини во учебниците</w:t>
            </w:r>
            <w:r w:rsidR="00FF3B57">
              <w:rPr>
                <w:noProof/>
                <w:webHidden/>
              </w:rPr>
              <w:tab/>
            </w:r>
            <w:r w:rsidR="00FF3B57">
              <w:rPr>
                <w:noProof/>
                <w:webHidden/>
              </w:rPr>
              <w:fldChar w:fldCharType="begin"/>
            </w:r>
            <w:r w:rsidR="00FF3B57">
              <w:rPr>
                <w:noProof/>
                <w:webHidden/>
              </w:rPr>
              <w:instrText xml:space="preserve"> PAGEREF _Toc88737882 \h </w:instrText>
            </w:r>
            <w:r w:rsidR="00FF3B57">
              <w:rPr>
                <w:noProof/>
                <w:webHidden/>
              </w:rPr>
            </w:r>
            <w:r w:rsidR="00FF3B57">
              <w:rPr>
                <w:noProof/>
                <w:webHidden/>
              </w:rPr>
              <w:fldChar w:fldCharType="separate"/>
            </w:r>
            <w:r w:rsidR="00FF3B57">
              <w:rPr>
                <w:noProof/>
                <w:webHidden/>
              </w:rPr>
              <w:t>7</w:t>
            </w:r>
            <w:r w:rsidR="00FF3B57">
              <w:rPr>
                <w:noProof/>
                <w:webHidden/>
              </w:rPr>
              <w:fldChar w:fldCharType="end"/>
            </w:r>
          </w:hyperlink>
        </w:p>
        <w:p w14:paraId="4CAC861F" w14:textId="62A5DA96" w:rsidR="00FF3B57" w:rsidRDefault="008E4CE2">
          <w:pPr>
            <w:pStyle w:val="TOC2"/>
            <w:tabs>
              <w:tab w:val="left" w:pos="660"/>
              <w:tab w:val="right" w:pos="10456"/>
            </w:tabs>
            <w:rPr>
              <w:rFonts w:asciiTheme="minorHAnsi" w:eastAsiaTheme="minorEastAsia" w:hAnsiTheme="minorHAnsi" w:cstheme="minorBidi"/>
              <w:noProof/>
              <w:lang w:val="en-GB"/>
            </w:rPr>
          </w:pPr>
          <w:hyperlink w:anchor="_Toc88737883" w:history="1">
            <w:r w:rsidR="00FF3B57" w:rsidRPr="009647D4">
              <w:rPr>
                <w:rStyle w:val="Hyperlink"/>
                <w:noProof/>
              </w:rPr>
              <w:t>2.</w:t>
            </w:r>
            <w:r w:rsidR="00FF3B57">
              <w:rPr>
                <w:rFonts w:asciiTheme="minorHAnsi" w:eastAsiaTheme="minorEastAsia" w:hAnsiTheme="minorHAnsi" w:cstheme="minorBidi"/>
                <w:noProof/>
                <w:lang w:val="en-GB"/>
              </w:rPr>
              <w:tab/>
            </w:r>
            <w:r w:rsidR="00FF3B57" w:rsidRPr="009647D4">
              <w:rPr>
                <w:rStyle w:val="Hyperlink"/>
                <w:noProof/>
              </w:rPr>
              <w:t>Застапеност на принципите на родова еднаквост и недискриминација во наставните програми</w:t>
            </w:r>
            <w:r w:rsidR="00FF3B57">
              <w:rPr>
                <w:noProof/>
                <w:webHidden/>
              </w:rPr>
              <w:tab/>
            </w:r>
            <w:r w:rsidR="00FF3B57">
              <w:rPr>
                <w:noProof/>
                <w:webHidden/>
              </w:rPr>
              <w:fldChar w:fldCharType="begin"/>
            </w:r>
            <w:r w:rsidR="00FF3B57">
              <w:rPr>
                <w:noProof/>
                <w:webHidden/>
              </w:rPr>
              <w:instrText xml:space="preserve"> PAGEREF _Toc88737883 \h </w:instrText>
            </w:r>
            <w:r w:rsidR="00FF3B57">
              <w:rPr>
                <w:noProof/>
                <w:webHidden/>
              </w:rPr>
            </w:r>
            <w:r w:rsidR="00FF3B57">
              <w:rPr>
                <w:noProof/>
                <w:webHidden/>
              </w:rPr>
              <w:fldChar w:fldCharType="separate"/>
            </w:r>
            <w:r w:rsidR="00FF3B57">
              <w:rPr>
                <w:noProof/>
                <w:webHidden/>
              </w:rPr>
              <w:t>9</w:t>
            </w:r>
            <w:r w:rsidR="00FF3B57">
              <w:rPr>
                <w:noProof/>
                <w:webHidden/>
              </w:rPr>
              <w:fldChar w:fldCharType="end"/>
            </w:r>
          </w:hyperlink>
        </w:p>
        <w:p w14:paraId="11A239B1" w14:textId="6F9D1D22" w:rsidR="00FF3B57" w:rsidRDefault="008E4CE2">
          <w:pPr>
            <w:pStyle w:val="TOC2"/>
            <w:tabs>
              <w:tab w:val="left" w:pos="660"/>
              <w:tab w:val="right" w:pos="10456"/>
            </w:tabs>
            <w:rPr>
              <w:rFonts w:asciiTheme="minorHAnsi" w:eastAsiaTheme="minorEastAsia" w:hAnsiTheme="minorHAnsi" w:cstheme="minorBidi"/>
              <w:noProof/>
              <w:lang w:val="en-GB"/>
            </w:rPr>
          </w:pPr>
          <w:hyperlink w:anchor="_Toc88737884" w:history="1">
            <w:r w:rsidR="00FF3B57" w:rsidRPr="009647D4">
              <w:rPr>
                <w:rStyle w:val="Hyperlink"/>
                <w:noProof/>
              </w:rPr>
              <w:t>3.</w:t>
            </w:r>
            <w:r w:rsidR="00FF3B57">
              <w:rPr>
                <w:rFonts w:asciiTheme="minorHAnsi" w:eastAsiaTheme="minorEastAsia" w:hAnsiTheme="minorHAnsi" w:cstheme="minorBidi"/>
                <w:noProof/>
                <w:lang w:val="en-GB"/>
              </w:rPr>
              <w:tab/>
            </w:r>
            <w:r w:rsidR="00FF3B57" w:rsidRPr="009647D4">
              <w:rPr>
                <w:rStyle w:val="Hyperlink"/>
                <w:noProof/>
              </w:rPr>
              <w:t>РБН и булинг во училиштата</w:t>
            </w:r>
            <w:r w:rsidR="00FF3B57">
              <w:rPr>
                <w:noProof/>
                <w:webHidden/>
              </w:rPr>
              <w:tab/>
            </w:r>
            <w:r w:rsidR="00FF3B57">
              <w:rPr>
                <w:noProof/>
                <w:webHidden/>
              </w:rPr>
              <w:fldChar w:fldCharType="begin"/>
            </w:r>
            <w:r w:rsidR="00FF3B57">
              <w:rPr>
                <w:noProof/>
                <w:webHidden/>
              </w:rPr>
              <w:instrText xml:space="preserve"> PAGEREF _Toc88737884 \h </w:instrText>
            </w:r>
            <w:r w:rsidR="00FF3B57">
              <w:rPr>
                <w:noProof/>
                <w:webHidden/>
              </w:rPr>
            </w:r>
            <w:r w:rsidR="00FF3B57">
              <w:rPr>
                <w:noProof/>
                <w:webHidden/>
              </w:rPr>
              <w:fldChar w:fldCharType="separate"/>
            </w:r>
            <w:r w:rsidR="00FF3B57">
              <w:rPr>
                <w:noProof/>
                <w:webHidden/>
              </w:rPr>
              <w:t>11</w:t>
            </w:r>
            <w:r w:rsidR="00FF3B57">
              <w:rPr>
                <w:noProof/>
                <w:webHidden/>
              </w:rPr>
              <w:fldChar w:fldCharType="end"/>
            </w:r>
          </w:hyperlink>
        </w:p>
        <w:p w14:paraId="178BFA65" w14:textId="2640A9C6" w:rsidR="00FF3B57" w:rsidRDefault="008E4CE2">
          <w:pPr>
            <w:pStyle w:val="TOC2"/>
            <w:tabs>
              <w:tab w:val="left" w:pos="660"/>
              <w:tab w:val="right" w:pos="10456"/>
            </w:tabs>
            <w:rPr>
              <w:rFonts w:asciiTheme="minorHAnsi" w:eastAsiaTheme="minorEastAsia" w:hAnsiTheme="minorHAnsi" w:cstheme="minorBidi"/>
              <w:noProof/>
              <w:lang w:val="en-GB"/>
            </w:rPr>
          </w:pPr>
          <w:hyperlink w:anchor="_Toc88737885" w:history="1">
            <w:r w:rsidR="00FF3B57" w:rsidRPr="009647D4">
              <w:rPr>
                <w:rStyle w:val="Hyperlink"/>
                <w:noProof/>
              </w:rPr>
              <w:t>4.</w:t>
            </w:r>
            <w:r w:rsidR="00FF3B57">
              <w:rPr>
                <w:rFonts w:asciiTheme="minorHAnsi" w:eastAsiaTheme="minorEastAsia" w:hAnsiTheme="minorHAnsi" w:cstheme="minorBidi"/>
                <w:noProof/>
                <w:lang w:val="en-GB"/>
              </w:rPr>
              <w:tab/>
            </w:r>
            <w:r w:rsidR="00FF3B57" w:rsidRPr="009647D4">
              <w:rPr>
                <w:rStyle w:val="Hyperlink"/>
                <w:noProof/>
                <w:lang w:val="sr-Latn-RS"/>
              </w:rPr>
              <w:t>K</w:t>
            </w:r>
            <w:r w:rsidR="00FF3B57" w:rsidRPr="009647D4">
              <w:rPr>
                <w:rStyle w:val="Hyperlink"/>
                <w:noProof/>
              </w:rPr>
              <w:t>апацитети за справување со РБН и булинг во училиштата</w:t>
            </w:r>
            <w:r w:rsidR="00FF3B57">
              <w:rPr>
                <w:noProof/>
                <w:webHidden/>
              </w:rPr>
              <w:tab/>
            </w:r>
            <w:r w:rsidR="00FF3B57">
              <w:rPr>
                <w:noProof/>
                <w:webHidden/>
              </w:rPr>
              <w:fldChar w:fldCharType="begin"/>
            </w:r>
            <w:r w:rsidR="00FF3B57">
              <w:rPr>
                <w:noProof/>
                <w:webHidden/>
              </w:rPr>
              <w:instrText xml:space="preserve"> PAGEREF _Toc88737885 \h </w:instrText>
            </w:r>
            <w:r w:rsidR="00FF3B57">
              <w:rPr>
                <w:noProof/>
                <w:webHidden/>
              </w:rPr>
            </w:r>
            <w:r w:rsidR="00FF3B57">
              <w:rPr>
                <w:noProof/>
                <w:webHidden/>
              </w:rPr>
              <w:fldChar w:fldCharType="separate"/>
            </w:r>
            <w:r w:rsidR="00FF3B57">
              <w:rPr>
                <w:noProof/>
                <w:webHidden/>
              </w:rPr>
              <w:t>12</w:t>
            </w:r>
            <w:r w:rsidR="00FF3B57">
              <w:rPr>
                <w:noProof/>
                <w:webHidden/>
              </w:rPr>
              <w:fldChar w:fldCharType="end"/>
            </w:r>
          </w:hyperlink>
        </w:p>
        <w:p w14:paraId="7011A5EB" w14:textId="5D899DFE" w:rsidR="00FF3B57" w:rsidRDefault="008E4CE2">
          <w:pPr>
            <w:pStyle w:val="TOC1"/>
            <w:rPr>
              <w:rFonts w:asciiTheme="minorHAnsi" w:eastAsiaTheme="minorEastAsia" w:hAnsiTheme="minorHAnsi" w:cstheme="minorBidi"/>
              <w:noProof/>
              <w:lang w:val="en-GB"/>
            </w:rPr>
          </w:pPr>
          <w:hyperlink w:anchor="_Toc88737886" w:history="1">
            <w:r w:rsidR="00FF3B57" w:rsidRPr="009647D4">
              <w:rPr>
                <w:rStyle w:val="Hyperlink"/>
                <w:noProof/>
              </w:rPr>
              <w:t>Прилог: Извадоци од меѓународните документи релевантни за темите содржани во Рамката</w:t>
            </w:r>
            <w:r w:rsidR="00FF3B57">
              <w:rPr>
                <w:noProof/>
                <w:webHidden/>
              </w:rPr>
              <w:tab/>
            </w:r>
            <w:r w:rsidR="00FF3B57">
              <w:rPr>
                <w:noProof/>
                <w:webHidden/>
              </w:rPr>
              <w:fldChar w:fldCharType="begin"/>
            </w:r>
            <w:r w:rsidR="00FF3B57">
              <w:rPr>
                <w:noProof/>
                <w:webHidden/>
              </w:rPr>
              <w:instrText xml:space="preserve"> PAGEREF _Toc88737886 \h </w:instrText>
            </w:r>
            <w:r w:rsidR="00FF3B57">
              <w:rPr>
                <w:noProof/>
                <w:webHidden/>
              </w:rPr>
            </w:r>
            <w:r w:rsidR="00FF3B57">
              <w:rPr>
                <w:noProof/>
                <w:webHidden/>
              </w:rPr>
              <w:fldChar w:fldCharType="separate"/>
            </w:r>
            <w:r w:rsidR="00FF3B57">
              <w:rPr>
                <w:noProof/>
                <w:webHidden/>
              </w:rPr>
              <w:t>13</w:t>
            </w:r>
            <w:r w:rsidR="00FF3B57">
              <w:rPr>
                <w:noProof/>
                <w:webHidden/>
              </w:rPr>
              <w:fldChar w:fldCharType="end"/>
            </w:r>
          </w:hyperlink>
        </w:p>
        <w:p w14:paraId="0000002D" w14:textId="277A29BE" w:rsidR="00D07151" w:rsidRDefault="0052109B">
          <w:r>
            <w:fldChar w:fldCharType="end"/>
          </w:r>
        </w:p>
      </w:sdtContent>
    </w:sdt>
    <w:p w14:paraId="0000002E" w14:textId="77777777" w:rsidR="00D07151" w:rsidRDefault="0052109B">
      <w:pPr>
        <w:rPr>
          <w:sz w:val="24"/>
          <w:szCs w:val="24"/>
        </w:rPr>
      </w:pPr>
      <w:bookmarkStart w:id="0" w:name="_heading=h.gjdgxs" w:colFirst="0" w:colLast="0"/>
      <w:bookmarkEnd w:id="0"/>
      <w:r>
        <w:br w:type="page"/>
      </w:r>
    </w:p>
    <w:p w14:paraId="14DE4486" w14:textId="535D5E63" w:rsidR="007C753F" w:rsidRPr="008B4F84" w:rsidRDefault="007C753F" w:rsidP="00743000">
      <w:pPr>
        <w:pStyle w:val="Heading1"/>
      </w:pPr>
      <w:bookmarkStart w:id="1" w:name="_Toc88737878"/>
      <w:r w:rsidRPr="008B4F84">
        <w:lastRenderedPageBreak/>
        <w:t>Список на кратенки</w:t>
      </w:r>
      <w:bookmarkEnd w:id="1"/>
      <w:r w:rsidRPr="008B4F84">
        <w:t xml:space="preserve"> </w:t>
      </w:r>
    </w:p>
    <w:tbl>
      <w:tblPr>
        <w:tblStyle w:val="TableGrid"/>
        <w:tblW w:w="0" w:type="auto"/>
        <w:tblLook w:val="04A0" w:firstRow="1" w:lastRow="0" w:firstColumn="1" w:lastColumn="0" w:noHBand="0" w:noVBand="1"/>
      </w:tblPr>
      <w:tblGrid>
        <w:gridCol w:w="1696"/>
        <w:gridCol w:w="8760"/>
      </w:tblGrid>
      <w:tr w:rsidR="00137202" w14:paraId="6A2CF8ED" w14:textId="77777777" w:rsidTr="003B1266">
        <w:tc>
          <w:tcPr>
            <w:tcW w:w="1696" w:type="dxa"/>
          </w:tcPr>
          <w:p w14:paraId="78C63EA1" w14:textId="3245D0B9" w:rsidR="00137202" w:rsidRDefault="00D92C5E">
            <w:r>
              <w:t>ЕКЧП</w:t>
            </w:r>
          </w:p>
        </w:tc>
        <w:tc>
          <w:tcPr>
            <w:tcW w:w="8760" w:type="dxa"/>
          </w:tcPr>
          <w:p w14:paraId="685D9BC0" w14:textId="36AAC5EA" w:rsidR="00137202" w:rsidRDefault="00D92C5E">
            <w:r w:rsidRPr="00265AFA">
              <w:t>Европска конвенција за човекови права и основни слободи</w:t>
            </w:r>
          </w:p>
        </w:tc>
      </w:tr>
      <w:tr w:rsidR="00137202" w14:paraId="050C1889" w14:textId="77777777" w:rsidTr="003B1266">
        <w:tc>
          <w:tcPr>
            <w:tcW w:w="1696" w:type="dxa"/>
          </w:tcPr>
          <w:p w14:paraId="5A5696AE" w14:textId="765158A7" w:rsidR="00137202" w:rsidRDefault="00137202">
            <w:r>
              <w:t>ЕУ</w:t>
            </w:r>
          </w:p>
        </w:tc>
        <w:tc>
          <w:tcPr>
            <w:tcW w:w="8760" w:type="dxa"/>
          </w:tcPr>
          <w:p w14:paraId="46DF7158" w14:textId="6CA874EE" w:rsidR="00137202" w:rsidRDefault="00137202">
            <w:r>
              <w:t>Европска Унија</w:t>
            </w:r>
          </w:p>
        </w:tc>
      </w:tr>
      <w:tr w:rsidR="00137202" w14:paraId="52442D4A" w14:textId="77777777" w:rsidTr="003B1266">
        <w:tc>
          <w:tcPr>
            <w:tcW w:w="1696" w:type="dxa"/>
          </w:tcPr>
          <w:p w14:paraId="635A4D69" w14:textId="23EE9F5A" w:rsidR="00137202" w:rsidRDefault="00137202" w:rsidP="001E2C81">
            <w:pPr>
              <w:spacing w:after="120"/>
            </w:pPr>
            <w:r>
              <w:t xml:space="preserve">Истанбулска конвенција </w:t>
            </w:r>
          </w:p>
        </w:tc>
        <w:tc>
          <w:tcPr>
            <w:tcW w:w="8760" w:type="dxa"/>
          </w:tcPr>
          <w:p w14:paraId="1A588DCA" w14:textId="247A469F" w:rsidR="00137202" w:rsidRDefault="00137202">
            <w:r w:rsidRPr="008B1A23">
              <w:t>Конвенција на Советот на Европа за спречување и борба против насилството врз жените и домашното насилство</w:t>
            </w:r>
          </w:p>
        </w:tc>
      </w:tr>
      <w:tr w:rsidR="00CE6A12" w14:paraId="23DA8E92" w14:textId="77777777" w:rsidTr="003B1266">
        <w:tc>
          <w:tcPr>
            <w:tcW w:w="1696" w:type="dxa"/>
          </w:tcPr>
          <w:p w14:paraId="308973F1" w14:textId="6A745892" w:rsidR="00CE6A12" w:rsidRDefault="00CE6A12" w:rsidP="00CE6A12">
            <w:pPr>
              <w:spacing w:after="120"/>
            </w:pPr>
            <w:r>
              <w:t>ЛГБТИК</w:t>
            </w:r>
          </w:p>
        </w:tc>
        <w:tc>
          <w:tcPr>
            <w:tcW w:w="8760" w:type="dxa"/>
          </w:tcPr>
          <w:p w14:paraId="2431C18A" w14:textId="0C76CAC9" w:rsidR="00CE6A12" w:rsidRPr="008B1A23" w:rsidRDefault="00CE6A12" w:rsidP="00CE6A12">
            <w:r>
              <w:t>Лезбејки, геј, бисексуалци, трансродови, интерсексуалци, квир</w:t>
            </w:r>
          </w:p>
        </w:tc>
      </w:tr>
      <w:tr w:rsidR="00CE6A12" w14:paraId="2DB39A4F" w14:textId="77777777" w:rsidTr="003B1266">
        <w:tc>
          <w:tcPr>
            <w:tcW w:w="1696" w:type="dxa"/>
          </w:tcPr>
          <w:p w14:paraId="3C15F1E6" w14:textId="657503A9" w:rsidR="00CE6A12" w:rsidRDefault="00CE6A12" w:rsidP="00CE6A12">
            <w:r>
              <w:t>МКЕД</w:t>
            </w:r>
            <w:r w:rsidRPr="00265AFA">
              <w:t>Ж</w:t>
            </w:r>
          </w:p>
        </w:tc>
        <w:tc>
          <w:tcPr>
            <w:tcW w:w="8760" w:type="dxa"/>
          </w:tcPr>
          <w:p w14:paraId="30EDCBE3" w14:textId="3B564F62" w:rsidR="00CE6A12" w:rsidRDefault="00CE6A12" w:rsidP="00CE6A12">
            <w:pPr>
              <w:spacing w:after="120"/>
            </w:pPr>
            <w:r w:rsidRPr="00265AFA">
              <w:t>Меѓународна конвенција за елиминација на сите форми н</w:t>
            </w:r>
            <w:r>
              <w:t>а дискриминацијата на жената</w:t>
            </w:r>
          </w:p>
        </w:tc>
      </w:tr>
      <w:tr w:rsidR="00CE6A12" w14:paraId="58F1B603" w14:textId="77777777" w:rsidTr="003B1266">
        <w:tc>
          <w:tcPr>
            <w:tcW w:w="1696" w:type="dxa"/>
          </w:tcPr>
          <w:p w14:paraId="06A5CC64" w14:textId="102BC335" w:rsidR="00CE6A12" w:rsidRPr="00137202" w:rsidRDefault="00CE6A12" w:rsidP="00CE6A12">
            <w:r>
              <w:t>МКЕРД</w:t>
            </w:r>
          </w:p>
        </w:tc>
        <w:tc>
          <w:tcPr>
            <w:tcW w:w="8760" w:type="dxa"/>
          </w:tcPr>
          <w:p w14:paraId="7B2F197C" w14:textId="55957C2E" w:rsidR="00CE6A12" w:rsidRDefault="00CE6A12" w:rsidP="00CE6A12">
            <w:pPr>
              <w:spacing w:after="120"/>
            </w:pPr>
            <w:r w:rsidRPr="00265AFA">
              <w:t xml:space="preserve">Меѓународна конвенција за елиминација на сите форми на расна дискриминација </w:t>
            </w:r>
          </w:p>
        </w:tc>
      </w:tr>
      <w:tr w:rsidR="00CE6A12" w14:paraId="1300EAA4" w14:textId="77777777" w:rsidTr="003B1266">
        <w:tc>
          <w:tcPr>
            <w:tcW w:w="1696" w:type="dxa"/>
          </w:tcPr>
          <w:p w14:paraId="71C421F4" w14:textId="2FB7008F" w:rsidR="00CE6A12" w:rsidRDefault="00CE6A12" w:rsidP="00CE6A12">
            <w:r w:rsidRPr="00265AFA">
              <w:t>МКПЛП</w:t>
            </w:r>
          </w:p>
        </w:tc>
        <w:tc>
          <w:tcPr>
            <w:tcW w:w="8760" w:type="dxa"/>
          </w:tcPr>
          <w:p w14:paraId="0C577A71" w14:textId="73BADA1D" w:rsidR="00CE6A12" w:rsidRDefault="00CE6A12" w:rsidP="00CE6A12">
            <w:pPr>
              <w:spacing w:after="120"/>
            </w:pPr>
            <w:r w:rsidRPr="00265AFA">
              <w:t xml:space="preserve">Меѓународна конвенција за правата на лицата со попреченост </w:t>
            </w:r>
          </w:p>
        </w:tc>
      </w:tr>
      <w:tr w:rsidR="00CE6A12" w14:paraId="6668F347" w14:textId="77777777" w:rsidTr="003B1266">
        <w:tc>
          <w:tcPr>
            <w:tcW w:w="1696" w:type="dxa"/>
          </w:tcPr>
          <w:p w14:paraId="1D563047" w14:textId="1876E380" w:rsidR="00CE6A12" w:rsidRPr="00265AFA" w:rsidRDefault="00CE6A12" w:rsidP="00CE6A12">
            <w:pPr>
              <w:spacing w:after="120"/>
            </w:pPr>
            <w:r>
              <w:t>МПГПП</w:t>
            </w:r>
          </w:p>
        </w:tc>
        <w:tc>
          <w:tcPr>
            <w:tcW w:w="8760" w:type="dxa"/>
          </w:tcPr>
          <w:p w14:paraId="0E86DA14" w14:textId="78F0F45A" w:rsidR="00CE6A12" w:rsidRPr="00265AFA" w:rsidRDefault="00CE6A12" w:rsidP="00CE6A12">
            <w:pPr>
              <w:spacing w:after="120"/>
            </w:pPr>
            <w:r w:rsidRPr="00265AFA">
              <w:t>Меѓународен пакт за граѓански и политички права</w:t>
            </w:r>
          </w:p>
        </w:tc>
      </w:tr>
      <w:tr w:rsidR="00CE6A12" w14:paraId="2E8BFDBC" w14:textId="77777777" w:rsidTr="003B1266">
        <w:tc>
          <w:tcPr>
            <w:tcW w:w="1696" w:type="dxa"/>
          </w:tcPr>
          <w:p w14:paraId="2189B1C0" w14:textId="500DB2A6" w:rsidR="00CE6A12" w:rsidRPr="00265AFA" w:rsidRDefault="00CE6A12" w:rsidP="00CE6A12">
            <w:pPr>
              <w:spacing w:after="120"/>
            </w:pPr>
            <w:r>
              <w:t>МПЕСКП</w:t>
            </w:r>
          </w:p>
        </w:tc>
        <w:tc>
          <w:tcPr>
            <w:tcW w:w="8760" w:type="dxa"/>
          </w:tcPr>
          <w:p w14:paraId="3A74D13E" w14:textId="62D6B14F" w:rsidR="00CE6A12" w:rsidRPr="00265AFA" w:rsidRDefault="00CE6A12" w:rsidP="00CE6A12">
            <w:pPr>
              <w:spacing w:after="120"/>
            </w:pPr>
            <w:r w:rsidRPr="00265AFA">
              <w:t>Меѓународен пакт за економски, социјални и културни права</w:t>
            </w:r>
          </w:p>
        </w:tc>
      </w:tr>
      <w:tr w:rsidR="00CE6A12" w14:paraId="60082C22" w14:textId="77777777" w:rsidTr="003B1266">
        <w:tc>
          <w:tcPr>
            <w:tcW w:w="1696" w:type="dxa"/>
          </w:tcPr>
          <w:p w14:paraId="66BF6414" w14:textId="6F02CB40" w:rsidR="00CE6A12" w:rsidRDefault="00CE6A12" w:rsidP="00CE6A12">
            <w:pPr>
              <w:spacing w:after="120"/>
            </w:pPr>
            <w:r>
              <w:t>ОБСЕ</w:t>
            </w:r>
          </w:p>
        </w:tc>
        <w:tc>
          <w:tcPr>
            <w:tcW w:w="8760" w:type="dxa"/>
          </w:tcPr>
          <w:p w14:paraId="576F3319" w14:textId="4D9C9EAA" w:rsidR="00CE6A12" w:rsidRPr="00265AFA" w:rsidRDefault="00CE6A12" w:rsidP="00CE6A12">
            <w:pPr>
              <w:spacing w:after="120"/>
            </w:pPr>
            <w:r>
              <w:t>Организација за безбедност и соработка во Европа</w:t>
            </w:r>
          </w:p>
        </w:tc>
      </w:tr>
      <w:tr w:rsidR="00CE6A12" w14:paraId="4276B79E" w14:textId="77777777" w:rsidTr="003B1266">
        <w:tc>
          <w:tcPr>
            <w:tcW w:w="1696" w:type="dxa"/>
          </w:tcPr>
          <w:p w14:paraId="1AADC3E8" w14:textId="7DDF8978" w:rsidR="00CE6A12" w:rsidRDefault="00CE6A12" w:rsidP="00CE6A12">
            <w:pPr>
              <w:spacing w:after="120"/>
            </w:pPr>
            <w:r>
              <w:t>ООН</w:t>
            </w:r>
          </w:p>
        </w:tc>
        <w:tc>
          <w:tcPr>
            <w:tcW w:w="8760" w:type="dxa"/>
          </w:tcPr>
          <w:p w14:paraId="174162C4" w14:textId="29A5B5CA" w:rsidR="00CE6A12" w:rsidRPr="00265AFA" w:rsidRDefault="00CE6A12" w:rsidP="00CE6A12">
            <w:pPr>
              <w:spacing w:after="120"/>
            </w:pPr>
            <w:r>
              <w:t>Организација на Обединетите нации</w:t>
            </w:r>
          </w:p>
        </w:tc>
      </w:tr>
      <w:tr w:rsidR="00CE6A12" w14:paraId="3B37B119" w14:textId="77777777" w:rsidTr="003B1266">
        <w:tc>
          <w:tcPr>
            <w:tcW w:w="1696" w:type="dxa"/>
          </w:tcPr>
          <w:p w14:paraId="7C44BA7C" w14:textId="0E3A8046" w:rsidR="00CE6A12" w:rsidRDefault="00CE6A12" w:rsidP="00CE6A12">
            <w:pPr>
              <w:spacing w:after="120"/>
            </w:pPr>
            <w:r>
              <w:t>РБН</w:t>
            </w:r>
          </w:p>
        </w:tc>
        <w:tc>
          <w:tcPr>
            <w:tcW w:w="8760" w:type="dxa"/>
          </w:tcPr>
          <w:p w14:paraId="73B328F8" w14:textId="28D33E4D" w:rsidR="00CE6A12" w:rsidRDefault="00CE6A12" w:rsidP="00CE6A12">
            <w:pPr>
              <w:spacing w:after="120"/>
            </w:pPr>
            <w:r>
              <w:t xml:space="preserve">Родово базирано насилство </w:t>
            </w:r>
          </w:p>
        </w:tc>
      </w:tr>
      <w:tr w:rsidR="00CE6A12" w14:paraId="20271F79" w14:textId="77777777" w:rsidTr="003B1266">
        <w:tc>
          <w:tcPr>
            <w:tcW w:w="1696" w:type="dxa"/>
          </w:tcPr>
          <w:p w14:paraId="253641CA" w14:textId="4F606763" w:rsidR="00CE6A12" w:rsidRDefault="00CE6A12" w:rsidP="00CE6A12">
            <w:r>
              <w:t>СЕ</w:t>
            </w:r>
          </w:p>
        </w:tc>
        <w:tc>
          <w:tcPr>
            <w:tcW w:w="8760" w:type="dxa"/>
          </w:tcPr>
          <w:p w14:paraId="2D869C4E" w14:textId="406B1DF3" w:rsidR="00CE6A12" w:rsidRDefault="00CE6A12" w:rsidP="00CE6A12">
            <w:r>
              <w:t>Совет на Европа</w:t>
            </w:r>
          </w:p>
        </w:tc>
      </w:tr>
      <w:tr w:rsidR="00CE6A12" w14:paraId="7508850A" w14:textId="77777777" w:rsidTr="003B1266">
        <w:tc>
          <w:tcPr>
            <w:tcW w:w="1696" w:type="dxa"/>
          </w:tcPr>
          <w:p w14:paraId="17EF3535" w14:textId="77777777" w:rsidR="00CE6A12" w:rsidRDefault="00CE6A12" w:rsidP="00CE6A12"/>
        </w:tc>
        <w:tc>
          <w:tcPr>
            <w:tcW w:w="8760" w:type="dxa"/>
          </w:tcPr>
          <w:p w14:paraId="4ED8FA56" w14:textId="77777777" w:rsidR="00CE6A12" w:rsidRDefault="00CE6A12" w:rsidP="00CE6A12"/>
        </w:tc>
      </w:tr>
      <w:tr w:rsidR="00CE6A12" w14:paraId="3E6A541B" w14:textId="77777777" w:rsidTr="003B1266">
        <w:tc>
          <w:tcPr>
            <w:tcW w:w="1696" w:type="dxa"/>
          </w:tcPr>
          <w:p w14:paraId="738EF689" w14:textId="39719241" w:rsidR="00CE6A12" w:rsidRPr="00FC2C0E" w:rsidRDefault="00CE6A12" w:rsidP="00CE6A12">
            <w:proofErr w:type="spellStart"/>
            <w:r>
              <w:rPr>
                <w:lang w:val="en-GB"/>
              </w:rPr>
              <w:t>CoE</w:t>
            </w:r>
            <w:proofErr w:type="spellEnd"/>
          </w:p>
        </w:tc>
        <w:tc>
          <w:tcPr>
            <w:tcW w:w="8760" w:type="dxa"/>
          </w:tcPr>
          <w:p w14:paraId="4E94D2DD" w14:textId="3F5686B1" w:rsidR="00CE6A12" w:rsidRPr="00FC2C0E" w:rsidRDefault="00CE6A12" w:rsidP="00CE6A12">
            <w:r>
              <w:rPr>
                <w:lang w:val="en-GB"/>
              </w:rPr>
              <w:t>Council of Europe</w:t>
            </w:r>
          </w:p>
        </w:tc>
      </w:tr>
      <w:tr w:rsidR="00CE6A12" w14:paraId="3E181762" w14:textId="77777777" w:rsidTr="003B1266">
        <w:tc>
          <w:tcPr>
            <w:tcW w:w="1696" w:type="dxa"/>
          </w:tcPr>
          <w:p w14:paraId="4E7B50CB" w14:textId="6B6C7DE1" w:rsidR="00CE6A12" w:rsidRDefault="00CE6A12" w:rsidP="00CE6A12">
            <w:pPr>
              <w:rPr>
                <w:lang w:val="en-GB"/>
              </w:rPr>
            </w:pPr>
            <w:r>
              <w:rPr>
                <w:lang w:val="en-GB"/>
              </w:rPr>
              <w:t>EU</w:t>
            </w:r>
          </w:p>
        </w:tc>
        <w:tc>
          <w:tcPr>
            <w:tcW w:w="8760" w:type="dxa"/>
          </w:tcPr>
          <w:p w14:paraId="6BD74FAA" w14:textId="437EA1B8" w:rsidR="00CE6A12" w:rsidRDefault="00CE6A12" w:rsidP="00CE6A12">
            <w:pPr>
              <w:rPr>
                <w:lang w:val="en-GB"/>
              </w:rPr>
            </w:pPr>
            <w:r>
              <w:rPr>
                <w:lang w:val="en-GB"/>
              </w:rPr>
              <w:t>European Union</w:t>
            </w:r>
          </w:p>
        </w:tc>
      </w:tr>
      <w:tr w:rsidR="00CE6A12" w14:paraId="0DD01899" w14:textId="77777777" w:rsidTr="003B1266">
        <w:tc>
          <w:tcPr>
            <w:tcW w:w="1696" w:type="dxa"/>
          </w:tcPr>
          <w:p w14:paraId="7DAA0801" w14:textId="69CF8E19" w:rsidR="00CE6A12" w:rsidRPr="003A0D5B" w:rsidRDefault="00CE6A12" w:rsidP="00CE6A12">
            <w:pPr>
              <w:rPr>
                <w:lang w:val="en-GB"/>
              </w:rPr>
            </w:pPr>
            <w:r>
              <w:rPr>
                <w:lang w:val="en-GB"/>
              </w:rPr>
              <w:t>GBV</w:t>
            </w:r>
          </w:p>
        </w:tc>
        <w:tc>
          <w:tcPr>
            <w:tcW w:w="8760" w:type="dxa"/>
          </w:tcPr>
          <w:p w14:paraId="7F021442" w14:textId="356FC125" w:rsidR="00CE6A12" w:rsidRPr="003A0D5B" w:rsidRDefault="00CE6A12" w:rsidP="00CE6A12">
            <w:pPr>
              <w:rPr>
                <w:lang w:val="en-GB"/>
              </w:rPr>
            </w:pPr>
            <w:r>
              <w:rPr>
                <w:lang w:val="en-GB"/>
              </w:rPr>
              <w:t>Gender Based Violence</w:t>
            </w:r>
          </w:p>
        </w:tc>
      </w:tr>
      <w:tr w:rsidR="00CE6A12" w14:paraId="150FAA2F" w14:textId="77777777" w:rsidTr="003B1266">
        <w:tc>
          <w:tcPr>
            <w:tcW w:w="1696" w:type="dxa"/>
          </w:tcPr>
          <w:p w14:paraId="1DA7619D" w14:textId="15071BCD" w:rsidR="00CE6A12" w:rsidRPr="000839B4" w:rsidRDefault="00CE6A12" w:rsidP="00CE6A12">
            <w:pPr>
              <w:rPr>
                <w:lang w:val="en-GB"/>
              </w:rPr>
            </w:pPr>
            <w:r>
              <w:rPr>
                <w:lang w:val="en-GB"/>
              </w:rPr>
              <w:t>HBSCM</w:t>
            </w:r>
          </w:p>
        </w:tc>
        <w:tc>
          <w:tcPr>
            <w:tcW w:w="8760" w:type="dxa"/>
          </w:tcPr>
          <w:p w14:paraId="39588C6B" w14:textId="5EDAEE21" w:rsidR="00CE6A12" w:rsidRDefault="00CE6A12" w:rsidP="00CE6A12">
            <w:r w:rsidRPr="000839B4">
              <w:t>Health Behavior in School Aged Children Study in Macedonia</w:t>
            </w:r>
          </w:p>
        </w:tc>
      </w:tr>
      <w:tr w:rsidR="00CE6A12" w14:paraId="11BEA6DD" w14:textId="77777777" w:rsidTr="003B1266">
        <w:tc>
          <w:tcPr>
            <w:tcW w:w="1696" w:type="dxa"/>
          </w:tcPr>
          <w:p w14:paraId="31954A96" w14:textId="183AAC40" w:rsidR="00CE6A12" w:rsidRPr="000839B4" w:rsidRDefault="00CE6A12" w:rsidP="00CE6A12">
            <w:pPr>
              <w:rPr>
                <w:lang w:val="en-GB"/>
              </w:rPr>
            </w:pPr>
            <w:r>
              <w:rPr>
                <w:lang w:val="en-GB"/>
              </w:rPr>
              <w:t>LGBTI</w:t>
            </w:r>
          </w:p>
        </w:tc>
        <w:tc>
          <w:tcPr>
            <w:tcW w:w="8760" w:type="dxa"/>
          </w:tcPr>
          <w:p w14:paraId="475B39A1" w14:textId="02C651C1" w:rsidR="00CE6A12" w:rsidRPr="003A0D5B" w:rsidRDefault="00CE6A12" w:rsidP="00CE6A12">
            <w:pPr>
              <w:rPr>
                <w:lang w:val="en-GB"/>
              </w:rPr>
            </w:pPr>
            <w:r>
              <w:rPr>
                <w:lang w:val="en-GB"/>
              </w:rPr>
              <w:t xml:space="preserve">Lesbian Gay Bisexual Transgender and Intersex </w:t>
            </w:r>
          </w:p>
        </w:tc>
      </w:tr>
      <w:tr w:rsidR="00CE6A12" w14:paraId="1F8CB937" w14:textId="77777777" w:rsidTr="003B1266">
        <w:tc>
          <w:tcPr>
            <w:tcW w:w="1696" w:type="dxa"/>
          </w:tcPr>
          <w:p w14:paraId="7A1AD177" w14:textId="1E5B8A98" w:rsidR="00CE6A12" w:rsidRDefault="00CE6A12" w:rsidP="00CE6A12">
            <w:pPr>
              <w:rPr>
                <w:lang w:val="en-GB"/>
              </w:rPr>
            </w:pPr>
            <w:r>
              <w:rPr>
                <w:lang w:val="en-GB"/>
              </w:rPr>
              <w:t>MES</w:t>
            </w:r>
          </w:p>
        </w:tc>
        <w:tc>
          <w:tcPr>
            <w:tcW w:w="8760" w:type="dxa"/>
          </w:tcPr>
          <w:p w14:paraId="71E2A97B" w14:textId="16EA0447" w:rsidR="00CE6A12" w:rsidRDefault="00CE6A12" w:rsidP="00CE6A12">
            <w:pPr>
              <w:rPr>
                <w:lang w:val="en-GB"/>
              </w:rPr>
            </w:pPr>
            <w:r>
              <w:rPr>
                <w:lang w:val="en-GB"/>
              </w:rPr>
              <w:t>Ministry of Education and Science</w:t>
            </w:r>
          </w:p>
        </w:tc>
      </w:tr>
      <w:tr w:rsidR="00CE6A12" w14:paraId="632F71C3" w14:textId="77777777" w:rsidTr="003B1266">
        <w:tc>
          <w:tcPr>
            <w:tcW w:w="1696" w:type="dxa"/>
          </w:tcPr>
          <w:p w14:paraId="349229EB" w14:textId="03FFD9D5" w:rsidR="00CE6A12" w:rsidRPr="00487F9B" w:rsidRDefault="00CE6A12" w:rsidP="00CE6A12">
            <w:pPr>
              <w:rPr>
                <w:lang w:val="en-GB"/>
              </w:rPr>
            </w:pPr>
            <w:r>
              <w:rPr>
                <w:lang w:val="en-GB"/>
              </w:rPr>
              <w:t>OSCE</w:t>
            </w:r>
          </w:p>
        </w:tc>
        <w:tc>
          <w:tcPr>
            <w:tcW w:w="8760" w:type="dxa"/>
          </w:tcPr>
          <w:p w14:paraId="665EF024" w14:textId="630BA5A2" w:rsidR="00CE6A12" w:rsidRDefault="00CE6A12" w:rsidP="00CE6A12">
            <w:pPr>
              <w:rPr>
                <w:lang w:val="en-GB"/>
              </w:rPr>
            </w:pPr>
            <w:r>
              <w:rPr>
                <w:lang w:val="en-GB"/>
              </w:rPr>
              <w:t xml:space="preserve">Organisation for Security and Cooperation in Europe </w:t>
            </w:r>
          </w:p>
        </w:tc>
      </w:tr>
      <w:tr w:rsidR="00CE6A12" w14:paraId="02A701AE" w14:textId="77777777" w:rsidTr="003B1266">
        <w:tc>
          <w:tcPr>
            <w:tcW w:w="1696" w:type="dxa"/>
          </w:tcPr>
          <w:p w14:paraId="29309ACB" w14:textId="281F79FA" w:rsidR="00CE6A12" w:rsidRDefault="00CE6A12" w:rsidP="00CE6A12">
            <w:pPr>
              <w:rPr>
                <w:lang w:val="en-GB"/>
              </w:rPr>
            </w:pPr>
            <w:r>
              <w:rPr>
                <w:lang w:val="en-GB"/>
              </w:rPr>
              <w:t>SDG</w:t>
            </w:r>
          </w:p>
        </w:tc>
        <w:tc>
          <w:tcPr>
            <w:tcW w:w="8760" w:type="dxa"/>
          </w:tcPr>
          <w:p w14:paraId="48AF283A" w14:textId="18BB24EA" w:rsidR="00CE6A12" w:rsidRDefault="00CE6A12" w:rsidP="00CE6A12">
            <w:pPr>
              <w:rPr>
                <w:lang w:val="en-GB"/>
              </w:rPr>
            </w:pPr>
            <w:r>
              <w:rPr>
                <w:lang w:val="en-GB"/>
              </w:rPr>
              <w:t>Strategic Development Goals</w:t>
            </w:r>
          </w:p>
        </w:tc>
      </w:tr>
      <w:tr w:rsidR="00CE6A12" w14:paraId="5C240E42" w14:textId="77777777" w:rsidTr="003B1266">
        <w:tc>
          <w:tcPr>
            <w:tcW w:w="1696" w:type="dxa"/>
          </w:tcPr>
          <w:p w14:paraId="173E9382" w14:textId="5BA582CF" w:rsidR="00CE6A12" w:rsidRDefault="00CE6A12" w:rsidP="00CE6A12">
            <w:pPr>
              <w:rPr>
                <w:lang w:val="en-GB"/>
              </w:rPr>
            </w:pPr>
            <w:r>
              <w:rPr>
                <w:lang w:val="en-GB"/>
              </w:rPr>
              <w:t>UN</w:t>
            </w:r>
          </w:p>
        </w:tc>
        <w:tc>
          <w:tcPr>
            <w:tcW w:w="8760" w:type="dxa"/>
          </w:tcPr>
          <w:p w14:paraId="56AD946D" w14:textId="2783DA0F" w:rsidR="00CE6A12" w:rsidRPr="00152A46" w:rsidRDefault="00CE6A12" w:rsidP="00CE6A12">
            <w:pPr>
              <w:rPr>
                <w:lang w:val="en-GB"/>
              </w:rPr>
            </w:pPr>
            <w:r>
              <w:rPr>
                <w:lang w:val="en-GB"/>
              </w:rPr>
              <w:t>United Nations</w:t>
            </w:r>
          </w:p>
        </w:tc>
      </w:tr>
      <w:tr w:rsidR="00CE6A12" w14:paraId="4C3B24D7" w14:textId="77777777" w:rsidTr="003B1266">
        <w:tc>
          <w:tcPr>
            <w:tcW w:w="1696" w:type="dxa"/>
          </w:tcPr>
          <w:p w14:paraId="3200AF75" w14:textId="30C9C1D3" w:rsidR="00CE6A12" w:rsidRDefault="00CE6A12" w:rsidP="00CE6A12">
            <w:pPr>
              <w:rPr>
                <w:lang w:val="en-GB"/>
              </w:rPr>
            </w:pPr>
            <w:r>
              <w:rPr>
                <w:lang w:val="en-GB"/>
              </w:rPr>
              <w:t>UNICEF</w:t>
            </w:r>
          </w:p>
        </w:tc>
        <w:tc>
          <w:tcPr>
            <w:tcW w:w="8760" w:type="dxa"/>
          </w:tcPr>
          <w:p w14:paraId="5F57F411" w14:textId="3A66DCDC" w:rsidR="00CE6A12" w:rsidRDefault="00CE6A12" w:rsidP="00CE6A12">
            <w:pPr>
              <w:rPr>
                <w:lang w:val="en-GB"/>
              </w:rPr>
            </w:pPr>
            <w:r>
              <w:t>United Nations Children’s Fund</w:t>
            </w:r>
          </w:p>
        </w:tc>
      </w:tr>
      <w:tr w:rsidR="00CE6A12" w14:paraId="479355B1" w14:textId="77777777" w:rsidTr="003B1266">
        <w:tc>
          <w:tcPr>
            <w:tcW w:w="1696" w:type="dxa"/>
          </w:tcPr>
          <w:p w14:paraId="4F40ABC3" w14:textId="623374D1" w:rsidR="00CE6A12" w:rsidRDefault="00CE6A12" w:rsidP="00CE6A12">
            <w:pPr>
              <w:rPr>
                <w:lang w:val="en-GB"/>
              </w:rPr>
            </w:pPr>
            <w:r>
              <w:rPr>
                <w:lang w:val="en-GB"/>
              </w:rPr>
              <w:t>UNPFA</w:t>
            </w:r>
          </w:p>
        </w:tc>
        <w:tc>
          <w:tcPr>
            <w:tcW w:w="8760" w:type="dxa"/>
          </w:tcPr>
          <w:p w14:paraId="7F0A4202" w14:textId="68DE2932" w:rsidR="00CE6A12" w:rsidRPr="00487F9B" w:rsidRDefault="00CE6A12" w:rsidP="00CE6A12">
            <w:r>
              <w:rPr>
                <w:lang w:val="en-GB"/>
              </w:rPr>
              <w:t>UN Population Fund</w:t>
            </w:r>
          </w:p>
        </w:tc>
      </w:tr>
      <w:tr w:rsidR="00CE6A12" w14:paraId="51981440" w14:textId="77777777" w:rsidTr="003B1266">
        <w:tc>
          <w:tcPr>
            <w:tcW w:w="1696" w:type="dxa"/>
          </w:tcPr>
          <w:p w14:paraId="20A1E72C" w14:textId="01A78162" w:rsidR="00CE6A12" w:rsidRDefault="00CE6A12" w:rsidP="00CE6A12">
            <w:pPr>
              <w:rPr>
                <w:lang w:val="en-GB"/>
              </w:rPr>
            </w:pPr>
            <w:r>
              <w:rPr>
                <w:lang w:val="en-GB"/>
              </w:rPr>
              <w:t>UN Women</w:t>
            </w:r>
          </w:p>
        </w:tc>
        <w:tc>
          <w:tcPr>
            <w:tcW w:w="8760" w:type="dxa"/>
          </w:tcPr>
          <w:p w14:paraId="7E2E4EF5" w14:textId="5E473524" w:rsidR="00CE6A12" w:rsidRDefault="00CE6A12" w:rsidP="00CE6A12">
            <w:r w:rsidRPr="00152A46">
              <w:rPr>
                <w:lang w:val="en-GB"/>
              </w:rPr>
              <w:t>United Nations Entity for Gender Equality and the Empowerment of Women</w:t>
            </w:r>
          </w:p>
        </w:tc>
      </w:tr>
    </w:tbl>
    <w:p w14:paraId="0F319587" w14:textId="77777777" w:rsidR="00137202" w:rsidRDefault="00137202"/>
    <w:p w14:paraId="360AE034" w14:textId="77777777" w:rsidR="00137202" w:rsidRDefault="00137202"/>
    <w:p w14:paraId="3FFADB20" w14:textId="07910C4D" w:rsidR="007C753F" w:rsidRDefault="007C753F"/>
    <w:p w14:paraId="00000040" w14:textId="55E14D57" w:rsidR="000F73B4" w:rsidRDefault="000F73B4">
      <w:pPr>
        <w:rPr>
          <w:color w:val="000000"/>
          <w:sz w:val="24"/>
          <w:szCs w:val="24"/>
        </w:rPr>
      </w:pPr>
      <w:r>
        <w:rPr>
          <w:color w:val="000000"/>
          <w:sz w:val="24"/>
          <w:szCs w:val="24"/>
        </w:rPr>
        <w:br w:type="page"/>
      </w:r>
    </w:p>
    <w:p w14:paraId="3F60EDD4" w14:textId="77777777" w:rsidR="00D07151" w:rsidRDefault="00D07151">
      <w:pPr>
        <w:jc w:val="both"/>
        <w:rPr>
          <w:color w:val="000000"/>
          <w:sz w:val="24"/>
          <w:szCs w:val="24"/>
        </w:rPr>
      </w:pPr>
    </w:p>
    <w:p w14:paraId="3F139658" w14:textId="5B18B609" w:rsidR="009F4F2F" w:rsidRPr="008B4F84" w:rsidRDefault="009F4F2F" w:rsidP="00743000">
      <w:pPr>
        <w:pStyle w:val="Heading1"/>
      </w:pPr>
      <w:bookmarkStart w:id="2" w:name="_Toc88737879"/>
      <w:r w:rsidRPr="008B4F84">
        <w:t>I</w:t>
      </w:r>
      <w:r w:rsidR="008B4F84" w:rsidRPr="008B4F84">
        <w:t>ntroduction</w:t>
      </w:r>
      <w:bookmarkEnd w:id="2"/>
      <w:r w:rsidRPr="008B4F84">
        <w:t xml:space="preserve"> </w:t>
      </w:r>
    </w:p>
    <w:p w14:paraId="6D7B96F1" w14:textId="54B6747F" w:rsidR="009F4F2F" w:rsidRDefault="009F4F2F" w:rsidP="009F4F2F">
      <w:pPr>
        <w:jc w:val="both"/>
      </w:pPr>
      <w:r>
        <w:t>The importance of education in shaping the future has long been recognized and emphasized by EU policy makers</w:t>
      </w:r>
      <w:r w:rsidR="001853F8">
        <w:rPr>
          <w:lang w:val="en-GB"/>
        </w:rPr>
        <w:t>. An anticipatory and inclusive approach</w:t>
      </w:r>
      <w:r w:rsidR="000F73B4">
        <w:rPr>
          <w:lang w:val="en-GB"/>
        </w:rPr>
        <w:t xml:space="preserve"> to education </w:t>
      </w:r>
      <w:r w:rsidR="001853F8">
        <w:rPr>
          <w:lang w:val="en-GB"/>
        </w:rPr>
        <w:t xml:space="preserve">and training </w:t>
      </w:r>
      <w:r w:rsidR="008C25A6">
        <w:rPr>
          <w:lang w:val="en-GB"/>
        </w:rPr>
        <w:t xml:space="preserve">empowering people </w:t>
      </w:r>
      <w:r w:rsidR="001853F8">
        <w:rPr>
          <w:lang w:val="en-GB"/>
        </w:rPr>
        <w:t>is deemed necessary to navigate change</w:t>
      </w:r>
      <w:r w:rsidR="008C25A6">
        <w:rPr>
          <w:lang w:val="en-GB"/>
        </w:rPr>
        <w:t>.</w:t>
      </w:r>
      <w:r w:rsidR="008C25A6">
        <w:rPr>
          <w:rStyle w:val="FootnoteReference"/>
          <w:lang w:val="en-GB"/>
        </w:rPr>
        <w:footnoteReference w:id="1"/>
      </w:r>
      <w:r w:rsidR="001853F8">
        <w:rPr>
          <w:lang w:val="en-GB"/>
        </w:rPr>
        <w:t xml:space="preserve"> </w:t>
      </w:r>
      <w:r>
        <w:t xml:space="preserve">At the same time, the importance of education in ensuring equity, social inclusion, integration of marginalized communities, and civic participation among European citizens, has also been increasingly emphasized. Gender has long been viewed as one of the key factors that influence various aspects of educational achievements, together with socio-economic status and ethnic/migrant background. </w:t>
      </w:r>
    </w:p>
    <w:p w14:paraId="395A87BF" w14:textId="1FE2E66E" w:rsidR="009F4F2F" w:rsidRDefault="009F4F2F" w:rsidP="009F4F2F">
      <w:pPr>
        <w:jc w:val="both"/>
      </w:pPr>
      <w:r>
        <w:t>North Macedonia has already developed a legal framework guaranteeing equality and nondiscrimination</w:t>
      </w:r>
      <w:r w:rsidR="000F73B4">
        <w:t xml:space="preserve">, </w:t>
      </w:r>
      <w:r w:rsidR="000F73B4">
        <w:rPr>
          <w:lang w:val="en-GB"/>
        </w:rPr>
        <w:t xml:space="preserve">including </w:t>
      </w:r>
      <w:r>
        <w:t>equal access to education. However, the country has a long history and tradition of sustaining inequalities, especially gender inequalities through its educational system. Some official educational textbook</w:t>
      </w:r>
      <w:r w:rsidR="001853F8">
        <w:rPr>
          <w:lang w:val="en-GB"/>
        </w:rPr>
        <w:t>s</w:t>
      </w:r>
      <w:r>
        <w:t xml:space="preserve"> contain gender discriminatory narratives, and women achievements and work are highly ignored within teaching programs and textbooks, showed the last study</w:t>
      </w:r>
      <w:r w:rsidR="000F73B4">
        <w:rPr>
          <w:lang w:val="en-GB"/>
        </w:rPr>
        <w:t xml:space="preserve"> </w:t>
      </w:r>
      <w:r>
        <w:t>focused on gender inequalities within elementary school textbooks.</w:t>
      </w:r>
      <w:r w:rsidR="00FC2C0E">
        <w:rPr>
          <w:vertAlign w:val="superscript"/>
        </w:rPr>
        <w:footnoteReference w:id="2"/>
      </w:r>
      <w:r w:rsidR="00FC2C0E">
        <w:t xml:space="preserve"> </w:t>
      </w:r>
      <w:r>
        <w:t xml:space="preserve">Coalition Margins has selected around 20 textbooks that need to be revised, had submitted around 20 petitions </w:t>
      </w:r>
      <w:r w:rsidR="0033672C">
        <w:rPr>
          <w:lang w:val="en-GB"/>
        </w:rPr>
        <w:t>to</w:t>
      </w:r>
      <w:r w:rsidR="0033672C">
        <w:t xml:space="preserve"> </w:t>
      </w:r>
      <w:r>
        <w:t xml:space="preserve"> the Commission against </w:t>
      </w:r>
      <w:r w:rsidR="0033672C">
        <w:rPr>
          <w:lang w:val="en-GB"/>
        </w:rPr>
        <w:t>D</w:t>
      </w:r>
      <w:r>
        <w:t xml:space="preserve">iscrimination and </w:t>
      </w:r>
      <w:r w:rsidR="0033672C">
        <w:rPr>
          <w:lang w:val="en-GB"/>
        </w:rPr>
        <w:t xml:space="preserve">to the </w:t>
      </w:r>
      <w:r>
        <w:t xml:space="preserve">Ombudsman, and </w:t>
      </w:r>
      <w:r w:rsidR="0033672C">
        <w:rPr>
          <w:lang w:val="en-GB"/>
        </w:rPr>
        <w:t xml:space="preserve">lodged </w:t>
      </w:r>
      <w:r>
        <w:t xml:space="preserve">one court lawsuit for discriminatory textbooks. Most of the problematic textbooks contain discourses that normalize gender division of labor, normalize some forms of violence against women and blame women for abortions and divorces. Women scientists, thinkers and authors are rarely included in the curricula and textbooks, and the majority of the textbooks for social sciences include only certain types of women that were public figures, such as Mother Theresa. Having in mind that </w:t>
      </w:r>
      <w:r w:rsidR="0033672C">
        <w:rPr>
          <w:lang w:val="en-GB"/>
        </w:rPr>
        <w:t>i</w:t>
      </w:r>
      <w:r>
        <w:t>n 2007, the United Nations Children’s Fund (UNICEF) defined gender socialization as “[T]he process by which people learn to behave in a certain way, as dictated by societal beliefs, values, attitudes and examples”, one may conclude that there is a clear interaction between socio-cultural values (and praxis) with gender socialization. We may say that this partly explains why it is that in many developing societies there is a persistent prioritization of women’s ‘domestic’ roles and responsibilities over public ones. Most young girls are socialized into the ‘biological inevitability’ of their socially determined future roles as mothers</w:t>
      </w:r>
      <w:r>
        <w:rPr>
          <w:vertAlign w:val="superscript"/>
        </w:rPr>
        <w:footnoteReference w:id="3"/>
      </w:r>
      <w:r>
        <w:t xml:space="preserve">. </w:t>
      </w:r>
    </w:p>
    <w:p w14:paraId="61168F50" w14:textId="77777777" w:rsidR="009F4F2F" w:rsidRDefault="009F4F2F" w:rsidP="009F4F2F">
      <w:pPr>
        <w:jc w:val="both"/>
      </w:pPr>
      <w:r>
        <w:t>Yet, textbooks and curricula are just one segment of the educational system. The average student spends more than 1,000 hours at school every year. For most, these years are spent in a safe environment, surrounded by supportive teachers and peers. But many aren’t so lucky.  According to Health Behaviour in School-aged Children (HBSC) study</w:t>
      </w:r>
      <w:r>
        <w:rPr>
          <w:vertAlign w:val="superscript"/>
        </w:rPr>
        <w:footnoteReference w:id="4"/>
      </w:r>
      <w:r>
        <w:t>, almost 20% of the heterosexual youth and 30% of LGBT youth (13 and 15 years) in North Macedonia are victims of verbal or psychological violence within school, around 10% (or 1 in 10 heterosexual pupils) and 15% of LGBTI youth are victims of physical violence within school, and around 10% of the heterosexual youth and 20% of LGBT youth are victims of cyber bullying. While there are many types of school violence, and an equal number of reasons inciting it, gender plays a key role in why, and how, it unfolds.  The latest figures from the World Bank</w:t>
      </w:r>
      <w:r>
        <w:rPr>
          <w:vertAlign w:val="superscript"/>
        </w:rPr>
        <w:footnoteReference w:id="5"/>
      </w:r>
      <w:r>
        <w:t xml:space="preserve"> show that each year, more than 700 million women are victims of physical and/or sexual violence. Analysis by Together for Girls</w:t>
      </w:r>
      <w:r>
        <w:rPr>
          <w:vertAlign w:val="superscript"/>
        </w:rPr>
        <w:footnoteReference w:id="6"/>
      </w:r>
      <w:r>
        <w:t> found that violence in schools is more common in countries where a larger proportion of young people condone harmful gender norms and attitudes. </w:t>
      </w:r>
    </w:p>
    <w:p w14:paraId="3984E39A" w14:textId="4ADB3AF1" w:rsidR="009F4F2F" w:rsidRDefault="009F4F2F" w:rsidP="009F4F2F">
      <w:pPr>
        <w:jc w:val="both"/>
      </w:pPr>
      <w:r>
        <w:t xml:space="preserve">The need for deep and robust reforms within the educational system is long discussed in the public sphere. Coalition MARGINS on many occasions has stated that these challenges within educational systems cannot be overcome with </w:t>
      </w:r>
      <w:r>
        <w:lastRenderedPageBreak/>
        <w:t xml:space="preserve">sporadic and ad-hoc initiatives. The Ministry of Education and Science in North Macedonia </w:t>
      </w:r>
      <w:r w:rsidR="0033672C">
        <w:rPr>
          <w:lang w:val="en-GB"/>
        </w:rPr>
        <w:t xml:space="preserve">(MES) </w:t>
      </w:r>
      <w:r>
        <w:t xml:space="preserve">has announced that in the following period (2021-2024) the National Educational System will go under robust and comprehensive reforms starting from law changes, changes in the teaching concepts and textbook and teaching materials concept. The Minister of Education and Science shared that promoting and ensuring gender equality will be a key target within the reform, and asked for support and help from civil society in this area. Coalition MARGINS became one of the key partners of the Ministry in developing educational policies that include promotion of gender equality, principles of non-discrimination and prevention and protection against GBV and bullying. In 2020 Coalition MARGINS has developed Strategic plan for combating discrimination in education in inclusive procedure where Ministry of Education and Science and </w:t>
      </w:r>
      <w:r w:rsidR="000F73B4">
        <w:rPr>
          <w:lang w:val="en-GB"/>
        </w:rPr>
        <w:t xml:space="preserve">the </w:t>
      </w:r>
      <w:r>
        <w:t xml:space="preserve">Biro for </w:t>
      </w:r>
      <w:r w:rsidR="000F73B4">
        <w:rPr>
          <w:lang w:val="en-GB"/>
        </w:rPr>
        <w:t>E</w:t>
      </w:r>
      <w:r>
        <w:t xml:space="preserve">ducational </w:t>
      </w:r>
      <w:r w:rsidR="000F73B4">
        <w:rPr>
          <w:lang w:val="en-GB"/>
        </w:rPr>
        <w:t>D</w:t>
      </w:r>
      <w:r>
        <w:t>evelopment took part. However, robust reforms rarely go smoothly in societies. Significant part of the general public answered with backlash regarding the gender perspective of the educational reform, marking the reform as “gender ideology” and anti-nationalistic ideology. This resulted in the Government's populists decisions, i.e. blocking and withdrawal of laws from the Parliament</w:t>
      </w:r>
      <w:r w:rsidR="000F73B4">
        <w:rPr>
          <w:lang w:val="en-GB"/>
        </w:rPr>
        <w:t xml:space="preserve">, resulting in a </w:t>
      </w:r>
      <w:r>
        <w:t>dominant negative attitude towards educational reform.</w:t>
      </w:r>
    </w:p>
    <w:p w14:paraId="3A1C683B" w14:textId="7650ED64" w:rsidR="009F4F2F" w:rsidRDefault="009F4F2F" w:rsidP="009F4F2F">
      <w:pPr>
        <w:jc w:val="both"/>
      </w:pPr>
      <w:r>
        <w:t xml:space="preserve">This </w:t>
      </w:r>
      <w:r w:rsidR="00AB29E5">
        <w:rPr>
          <w:lang w:val="en-GB"/>
        </w:rPr>
        <w:t xml:space="preserve">Framework </w:t>
      </w:r>
      <w:r>
        <w:t>takes into consideration the latest development</w:t>
      </w:r>
      <w:r w:rsidR="000F73B4">
        <w:rPr>
          <w:lang w:val="en-GB"/>
        </w:rPr>
        <w:t>s</w:t>
      </w:r>
      <w:r>
        <w:t xml:space="preserve"> in the context, the rise of </w:t>
      </w:r>
      <w:r w:rsidR="000F73B4">
        <w:rPr>
          <w:lang w:val="en-GB"/>
        </w:rPr>
        <w:t xml:space="preserve">the </w:t>
      </w:r>
      <w:r>
        <w:t xml:space="preserve">anti-gender movement and </w:t>
      </w:r>
      <w:r w:rsidR="000F73B4">
        <w:rPr>
          <w:lang w:val="en-GB"/>
        </w:rPr>
        <w:t xml:space="preserve">the </w:t>
      </w:r>
      <w:r>
        <w:rPr>
          <w:highlight w:val="white"/>
        </w:rPr>
        <w:t xml:space="preserve">Governments populist decisions </w:t>
      </w:r>
      <w:r>
        <w:t>and is</w:t>
      </w:r>
      <w:r w:rsidR="000F73B4">
        <w:rPr>
          <w:lang w:val="en-GB"/>
        </w:rPr>
        <w:t>, therefore,</w:t>
      </w:r>
      <w:r>
        <w:t xml:space="preserve"> based on realistic expectations. The </w:t>
      </w:r>
      <w:r w:rsidR="00AB29E5">
        <w:rPr>
          <w:lang w:val="en-GB"/>
        </w:rPr>
        <w:t xml:space="preserve">Framework </w:t>
      </w:r>
      <w:r>
        <w:t xml:space="preserve">does not include advocating for legislative change, but </w:t>
      </w:r>
      <w:r w:rsidR="00AB29E5">
        <w:t xml:space="preserve">is </w:t>
      </w:r>
      <w:r>
        <w:t xml:space="preserve">rather focused on mapping already existing entry points that allow gender mainstreaming and combating GBV and bullying within the educational system and institutions. The </w:t>
      </w:r>
      <w:r w:rsidR="00AB29E5">
        <w:rPr>
          <w:lang w:val="en-GB"/>
        </w:rPr>
        <w:t xml:space="preserve">Framework </w:t>
      </w:r>
      <w:r>
        <w:t>is focused on two main objectives:</w:t>
      </w:r>
    </w:p>
    <w:p w14:paraId="6ED77EBD" w14:textId="77777777" w:rsidR="009F4F2F" w:rsidRDefault="009F4F2F" w:rsidP="009F4F2F">
      <w:pPr>
        <w:numPr>
          <w:ilvl w:val="0"/>
          <w:numId w:val="11"/>
        </w:numPr>
        <w:spacing w:after="0"/>
        <w:jc w:val="both"/>
      </w:pPr>
      <w:bookmarkStart w:id="3" w:name="_heading=h.dln5tnymkim1" w:colFirst="0" w:colLast="0"/>
      <w:bookmarkEnd w:id="3"/>
      <w:r>
        <w:t>Promotion of gender equality and nondiscrimination within curricula, textbooks and teaching programs</w:t>
      </w:r>
    </w:p>
    <w:p w14:paraId="6051F982" w14:textId="77777777" w:rsidR="00AB29E5" w:rsidRPr="00AB29E5" w:rsidRDefault="009F4F2F" w:rsidP="009F4F2F">
      <w:pPr>
        <w:numPr>
          <w:ilvl w:val="0"/>
          <w:numId w:val="11"/>
        </w:numPr>
        <w:jc w:val="both"/>
      </w:pPr>
      <w:bookmarkStart w:id="4" w:name="_heading=h.e2d93njbc29j" w:colFirst="0" w:colLast="0"/>
      <w:bookmarkEnd w:id="4"/>
      <w:r>
        <w:t>Combating GBV and bullying in schools</w:t>
      </w:r>
      <w:r w:rsidR="00AB29E5">
        <w:rPr>
          <w:lang w:val="en-GB"/>
        </w:rPr>
        <w:t>.</w:t>
      </w:r>
    </w:p>
    <w:p w14:paraId="5C261AA9" w14:textId="19AFFCA8" w:rsidR="009F4F2F" w:rsidRPr="00487F9B" w:rsidRDefault="00AB29E5" w:rsidP="00AB29E5">
      <w:pPr>
        <w:jc w:val="both"/>
        <w:rPr>
          <w:lang w:val="en-GB"/>
        </w:rPr>
      </w:pPr>
      <w:r>
        <w:rPr>
          <w:lang w:val="en-GB"/>
        </w:rPr>
        <w:t>The document focuses on specific issues and actions from existing advocacy plans that are identified as priority, but are also deemed plausible within the changed context. The Framework elaborates in detail the a</w:t>
      </w:r>
      <w:r w:rsidR="005A05DE">
        <w:rPr>
          <w:lang w:val="en-GB"/>
        </w:rPr>
        <w:t>rguments for the planned</w:t>
      </w:r>
      <w:r>
        <w:rPr>
          <w:lang w:val="en-GB"/>
        </w:rPr>
        <w:t xml:space="preserve"> advocacy actions</w:t>
      </w:r>
      <w:r w:rsidR="005A05DE">
        <w:rPr>
          <w:lang w:val="en-GB"/>
        </w:rPr>
        <w:t xml:space="preserve"> of the Coalition MARGIN</w:t>
      </w:r>
      <w:r>
        <w:rPr>
          <w:lang w:val="en-GB"/>
        </w:rPr>
        <w:t xml:space="preserve">, </w:t>
      </w:r>
      <w:r w:rsidR="008A19AD">
        <w:rPr>
          <w:lang w:val="en-GB"/>
        </w:rPr>
        <w:t xml:space="preserve">in view of </w:t>
      </w:r>
      <w:r>
        <w:rPr>
          <w:lang w:val="en-GB"/>
        </w:rPr>
        <w:t>the global</w:t>
      </w:r>
      <w:r w:rsidR="00FC4E75">
        <w:rPr>
          <w:lang w:val="en-GB"/>
        </w:rPr>
        <w:t>,</w:t>
      </w:r>
      <w:r>
        <w:rPr>
          <w:lang w:val="en-GB"/>
        </w:rPr>
        <w:t xml:space="preserve"> regional and specifically EU perspective on the </w:t>
      </w:r>
      <w:r w:rsidR="00FC4E75">
        <w:rPr>
          <w:lang w:val="en-GB"/>
        </w:rPr>
        <w:t xml:space="preserve">identified </w:t>
      </w:r>
      <w:r>
        <w:rPr>
          <w:lang w:val="en-GB"/>
        </w:rPr>
        <w:t xml:space="preserve">issues. </w:t>
      </w:r>
    </w:p>
    <w:p w14:paraId="636BF39A" w14:textId="77777777" w:rsidR="009F4F2F" w:rsidRDefault="009F4F2F" w:rsidP="00743000">
      <w:pPr>
        <w:pStyle w:val="Heading1"/>
      </w:pPr>
      <w:bookmarkStart w:id="5" w:name="_Toc88737880"/>
      <w:r>
        <w:t>Глобална и европска рамка</w:t>
      </w:r>
      <w:bookmarkEnd w:id="5"/>
      <w:r>
        <w:t xml:space="preserve"> </w:t>
      </w:r>
    </w:p>
    <w:p w14:paraId="3F6D3E4D" w14:textId="2DD64DD4" w:rsidR="009F4F2F" w:rsidRDefault="009F4F2F" w:rsidP="009F4F2F">
      <w:pPr>
        <w:spacing w:after="120"/>
        <w:ind w:firstLine="720"/>
      </w:pPr>
      <w:r>
        <w:t xml:space="preserve">Овој </w:t>
      </w:r>
      <w:r w:rsidR="00FC4E75">
        <w:t xml:space="preserve">документ </w:t>
      </w:r>
      <w:r>
        <w:t>ја зема предвид глобалната и европската стратешка и правна рамка за едн</w:t>
      </w:r>
      <w:r w:rsidR="008A19AD">
        <w:rPr>
          <w:lang w:val="en-GB"/>
        </w:rPr>
        <w:t>a</w:t>
      </w:r>
      <w:r>
        <w:t xml:space="preserve">квоста и толеранцијата, со посебен фокус на образованието. </w:t>
      </w:r>
    </w:p>
    <w:p w14:paraId="5CFBE444" w14:textId="11749C6E" w:rsidR="009F4F2F" w:rsidRDefault="009F4F2F" w:rsidP="009F4F2F">
      <w:pPr>
        <w:autoSpaceDE w:val="0"/>
        <w:autoSpaceDN w:val="0"/>
        <w:adjustRightInd w:val="0"/>
        <w:spacing w:after="120" w:line="240" w:lineRule="auto"/>
        <w:ind w:firstLine="720"/>
      </w:pPr>
      <w:r>
        <w:t xml:space="preserve">Како кандидат за членство во ЕУ, </w:t>
      </w:r>
      <w:r w:rsidR="008A19AD">
        <w:t xml:space="preserve">Северна Македонија </w:t>
      </w:r>
      <w:r>
        <w:t xml:space="preserve">ја презеде обврската за усогласување на своето право со правото на Унијата. Унијата, како пропонент за човековите права глобално, покрај задолжителните правни акти првенствено во областа на недискриминацијата, има развиено и низа политички, стратешки и други инструменти за поддршка на еднаквоста и недискриминацијата, вклучувајќи и во областа на образованието. </w:t>
      </w:r>
    </w:p>
    <w:p w14:paraId="4670EBCE" w14:textId="77777777" w:rsidR="009F4F2F" w:rsidRDefault="009F4F2F" w:rsidP="009F4F2F">
      <w:pPr>
        <w:spacing w:after="120"/>
        <w:ind w:firstLine="720"/>
      </w:pPr>
      <w:r>
        <w:t xml:space="preserve">Како членка на ООН, Советот на Европа и други меѓународни организации и потписник на голем број меѓународни договори кои се однесуваат на еднаквоста и недискриминацијата, Северна Македонија има значителни обврски за спроведување на стандардите отелотворени во овие документи. </w:t>
      </w:r>
    </w:p>
    <w:p w14:paraId="75131546" w14:textId="77777777" w:rsidR="009F4F2F" w:rsidRDefault="009F4F2F" w:rsidP="009F4F2F">
      <w:pPr>
        <w:spacing w:after="120"/>
        <w:ind w:firstLine="720"/>
      </w:pPr>
      <w:r>
        <w:t xml:space="preserve">Со најзначајните конвенции за човековите права се гарантираат принципите на еднаквоста и нетолеранцијата: </w:t>
      </w:r>
    </w:p>
    <w:p w14:paraId="78241DA8" w14:textId="77777777" w:rsidR="009F4F2F" w:rsidRDefault="009F4F2F" w:rsidP="00A33C16">
      <w:pPr>
        <w:spacing w:after="120"/>
        <w:ind w:firstLine="720"/>
      </w:pPr>
      <w:r>
        <w:t xml:space="preserve">ООН </w:t>
      </w:r>
    </w:p>
    <w:p w14:paraId="1C92A05B" w14:textId="41A1D657" w:rsidR="009F4F2F" w:rsidRPr="00265AFA" w:rsidRDefault="009F4F2F" w:rsidP="009F4F2F">
      <w:pPr>
        <w:pStyle w:val="ListParagraph"/>
        <w:numPr>
          <w:ilvl w:val="0"/>
          <w:numId w:val="12"/>
        </w:numPr>
        <w:spacing w:after="120"/>
      </w:pPr>
      <w:r w:rsidRPr="00265AFA">
        <w:t>Меѓународна конвенција за елиминација на сите форми на расна дискриминација (МКЕРД)</w:t>
      </w:r>
      <w:r w:rsidR="00FC4E75">
        <w:t>;</w:t>
      </w:r>
    </w:p>
    <w:p w14:paraId="401E934F" w14:textId="7AC7673E" w:rsidR="009F4F2F" w:rsidRPr="00265AFA" w:rsidRDefault="009F4F2F" w:rsidP="009F4F2F">
      <w:pPr>
        <w:pStyle w:val="ListParagraph"/>
        <w:numPr>
          <w:ilvl w:val="0"/>
          <w:numId w:val="12"/>
        </w:numPr>
        <w:spacing w:after="120"/>
      </w:pPr>
      <w:r w:rsidRPr="00265AFA">
        <w:t>Меѓународна конвенција за елиминација на сите форми на дискриминацијата на жената (МКЕДЖ)</w:t>
      </w:r>
      <w:r w:rsidR="00FC4E75">
        <w:t>;</w:t>
      </w:r>
    </w:p>
    <w:p w14:paraId="700605C7" w14:textId="4A7E29B5" w:rsidR="009F4F2F" w:rsidRPr="00265AFA" w:rsidRDefault="009F4F2F" w:rsidP="009F4F2F">
      <w:pPr>
        <w:pStyle w:val="ListParagraph"/>
        <w:numPr>
          <w:ilvl w:val="0"/>
          <w:numId w:val="12"/>
        </w:numPr>
        <w:spacing w:after="120"/>
      </w:pPr>
      <w:r w:rsidRPr="00265AFA">
        <w:t>Меѓународна конвенција за правата на лицата со попреченост (МКПЛП)</w:t>
      </w:r>
      <w:r w:rsidR="00FC4E75">
        <w:t>;</w:t>
      </w:r>
    </w:p>
    <w:p w14:paraId="32189975" w14:textId="7512D630" w:rsidR="009F4F2F" w:rsidRPr="00265AFA" w:rsidRDefault="009F4F2F" w:rsidP="009F4F2F">
      <w:pPr>
        <w:pStyle w:val="ListParagraph"/>
        <w:numPr>
          <w:ilvl w:val="0"/>
          <w:numId w:val="12"/>
        </w:numPr>
        <w:spacing w:after="120"/>
      </w:pPr>
      <w:r w:rsidRPr="00265AFA">
        <w:t>Меѓународен пакт за граѓански и политички права (МПГПП)</w:t>
      </w:r>
      <w:r w:rsidR="00FC4E75">
        <w:t>;</w:t>
      </w:r>
    </w:p>
    <w:p w14:paraId="74C3E236" w14:textId="6B774EA5" w:rsidR="009F4F2F" w:rsidRDefault="009F4F2F" w:rsidP="009F4F2F">
      <w:pPr>
        <w:pStyle w:val="ListParagraph"/>
        <w:numPr>
          <w:ilvl w:val="0"/>
          <w:numId w:val="12"/>
        </w:numPr>
        <w:spacing w:after="120"/>
      </w:pPr>
      <w:r w:rsidRPr="00265AFA">
        <w:t>Меѓународен пакт за економски, социјални и културни права (МПЕСКП)</w:t>
      </w:r>
      <w:r w:rsidR="00AE0C68">
        <w:t>.</w:t>
      </w:r>
    </w:p>
    <w:p w14:paraId="19CA211D" w14:textId="4A2D3F15" w:rsidR="009F4F2F" w:rsidRDefault="009F4F2F" w:rsidP="009F4F2F">
      <w:pPr>
        <w:spacing w:after="120"/>
      </w:pPr>
      <w:r>
        <w:t>С</w:t>
      </w:r>
      <w:r w:rsidR="00FC4E75">
        <w:t xml:space="preserve">овет на </w:t>
      </w:r>
      <w:r>
        <w:t>Е</w:t>
      </w:r>
      <w:r w:rsidR="00FC4E75">
        <w:t>вропа</w:t>
      </w:r>
      <w:r>
        <w:t xml:space="preserve">: </w:t>
      </w:r>
    </w:p>
    <w:p w14:paraId="7A6513CC" w14:textId="77777777" w:rsidR="009F4F2F" w:rsidRDefault="009F4F2F" w:rsidP="009F4F2F">
      <w:pPr>
        <w:pStyle w:val="ListParagraph"/>
        <w:numPr>
          <w:ilvl w:val="0"/>
          <w:numId w:val="13"/>
        </w:numPr>
        <w:spacing w:after="120"/>
      </w:pPr>
      <w:r w:rsidRPr="00265AFA">
        <w:t xml:space="preserve">Европска конвенција за човекови права и основни слободи </w:t>
      </w:r>
      <w:r>
        <w:t>(ЕКЧП);</w:t>
      </w:r>
    </w:p>
    <w:p w14:paraId="12B57724" w14:textId="77777777" w:rsidR="009F4F2F" w:rsidRPr="00265AFA" w:rsidRDefault="009F4F2F" w:rsidP="009F4F2F">
      <w:pPr>
        <w:pStyle w:val="ListParagraph"/>
        <w:numPr>
          <w:ilvl w:val="0"/>
          <w:numId w:val="13"/>
        </w:numPr>
        <w:spacing w:after="120"/>
      </w:pPr>
      <w:r w:rsidRPr="008B1A23">
        <w:lastRenderedPageBreak/>
        <w:t>Конвенција на Советот на Европа за спречување и борба против насилството врз жените и домашното насилство</w:t>
      </w:r>
      <w:r>
        <w:t xml:space="preserve"> (Истанбулска конвенција); </w:t>
      </w:r>
    </w:p>
    <w:p w14:paraId="56A867A2" w14:textId="77777777" w:rsidR="009F4F2F" w:rsidRPr="00560857" w:rsidRDefault="009F4F2F" w:rsidP="009F4F2F">
      <w:pPr>
        <w:pStyle w:val="ListParagraph"/>
        <w:numPr>
          <w:ilvl w:val="0"/>
          <w:numId w:val="13"/>
        </w:numPr>
        <w:spacing w:after="120"/>
      </w:pPr>
      <w:r>
        <w:t xml:space="preserve">Конвенција на СЕ за заштита на децата од сексуално експлоатација и сексуално насилство.  </w:t>
      </w:r>
    </w:p>
    <w:p w14:paraId="159C9D9A" w14:textId="560F5B5D" w:rsidR="009F4F2F" w:rsidRDefault="009F4F2F" w:rsidP="009F4F2F">
      <w:pPr>
        <w:autoSpaceDE w:val="0"/>
        <w:autoSpaceDN w:val="0"/>
        <w:adjustRightInd w:val="0"/>
        <w:spacing w:after="120" w:line="240" w:lineRule="auto"/>
        <w:ind w:firstLine="720"/>
      </w:pPr>
      <w:r>
        <w:t>Покрај општите инструменти за човекови права, во рамките на ООН е донесена Конвенцијата за недискриминација во образованието (1960 година)</w:t>
      </w:r>
      <w:r w:rsidR="009F7CA7">
        <w:rPr>
          <w:rStyle w:val="FootnoteReference"/>
        </w:rPr>
        <w:footnoteReference w:id="7"/>
      </w:r>
      <w:r>
        <w:t>, со која првенствено се инсистира на еднаков пристап на сите до образованието.</w:t>
      </w:r>
    </w:p>
    <w:p w14:paraId="3456D811" w14:textId="182C25C7" w:rsidR="009F4F2F" w:rsidRPr="00FC4E75" w:rsidRDefault="009F4F2F" w:rsidP="00FC4E75">
      <w:pPr>
        <w:spacing w:after="80"/>
        <w:ind w:firstLine="720"/>
        <w:rPr>
          <w:b/>
          <w:sz w:val="20"/>
          <w:szCs w:val="20"/>
          <w:highlight w:val="white"/>
          <w:u w:val="single"/>
        </w:rPr>
      </w:pPr>
      <w:r>
        <w:t xml:space="preserve">Препораката на </w:t>
      </w:r>
      <w:r w:rsidR="00FC4E75">
        <w:t xml:space="preserve">Комитетот на министри на </w:t>
      </w:r>
      <w:r>
        <w:t xml:space="preserve">Советот на Европа </w:t>
      </w:r>
      <w:r w:rsidR="00FC4E75">
        <w:t>бр. 13/2007</w:t>
      </w:r>
      <w:r w:rsidR="000F73B4">
        <w:rPr>
          <w:lang w:val="en-GB"/>
        </w:rPr>
        <w:t xml:space="preserve"> </w:t>
      </w:r>
      <w:r>
        <w:t xml:space="preserve">содржи значајни </w:t>
      </w:r>
      <w:r w:rsidR="00FC4E75">
        <w:t>насоки за државите членки за третирањето на родот во образованието.</w:t>
      </w:r>
      <w:r w:rsidR="00AE0C68">
        <w:rPr>
          <w:rStyle w:val="FootnoteReference"/>
        </w:rPr>
        <w:footnoteReference w:id="8"/>
      </w:r>
    </w:p>
    <w:p w14:paraId="02ABC3B8" w14:textId="2EEF163B" w:rsidR="009F4F2F" w:rsidRDefault="009F4F2F" w:rsidP="009F4F2F">
      <w:pPr>
        <w:autoSpaceDE w:val="0"/>
        <w:autoSpaceDN w:val="0"/>
        <w:adjustRightInd w:val="0"/>
        <w:spacing w:after="120" w:line="240" w:lineRule="auto"/>
        <w:ind w:firstLine="720"/>
      </w:pPr>
      <w:r>
        <w:t>Современата меѓународна стратешка и правна рамка во однос на еднаквоста и нетолеранцијата постојано еволуира, ставајќи посебен фокус на инклузивното образование.  Во рамките на Стратешките развојни цели на ООН, четвртата развојна цел е посветена на образованието: „да се обезбеди вклучувачко и правично квалитетно образование и да се унапредат можностите за доживотно учење за сите“.</w:t>
      </w:r>
      <w:r w:rsidR="00AE0C68">
        <w:rPr>
          <w:rStyle w:val="FootnoteReference"/>
        </w:rPr>
        <w:footnoteReference w:id="9"/>
      </w:r>
      <w:r>
        <w:t xml:space="preserve"> </w:t>
      </w:r>
    </w:p>
    <w:p w14:paraId="12801E85" w14:textId="77777777" w:rsidR="009F4F2F" w:rsidRDefault="009F4F2F" w:rsidP="009F4F2F">
      <w:pPr>
        <w:spacing w:after="120"/>
      </w:pPr>
      <w:r>
        <w:tab/>
        <w:t>Европската унија во Договорот за ЕУ</w:t>
      </w:r>
      <w:r>
        <w:rPr>
          <w:rStyle w:val="FootnoteReference"/>
        </w:rPr>
        <w:footnoteReference w:id="10"/>
      </w:r>
      <w:r>
        <w:t xml:space="preserve"> ги промовира вредностите на ЕУ, меѓу кои и еднаквоста и недискриминацијата, додека Договорот за функционирање на ЕУ ја обезбедува правната основа за регулирањето на ЕУ на полето на недискриминацијата – директивите од областа на дискриминацијата</w:t>
      </w:r>
      <w:r>
        <w:rPr>
          <w:rStyle w:val="FootnoteReference"/>
        </w:rPr>
        <w:footnoteReference w:id="11"/>
      </w:r>
      <w:r>
        <w:t>.  Повелбата за темелните права на ЕУ, како дел од примарното право на ЕУ ја посветува Главата 3 на еднаквоста</w:t>
      </w:r>
      <w:r>
        <w:rPr>
          <w:lang w:val="sr-Latn-RS"/>
        </w:rPr>
        <w:t xml:space="preserve">, </w:t>
      </w:r>
      <w:r>
        <w:t xml:space="preserve">вклучувајќи ја родовата еднаквост, како и принципот на недискриминација. </w:t>
      </w:r>
    </w:p>
    <w:p w14:paraId="6ABEADA7" w14:textId="77777777" w:rsidR="000F73B4" w:rsidRDefault="00FC4E75" w:rsidP="00AE0C68">
      <w:pPr>
        <w:spacing w:after="120"/>
        <w:ind w:firstLine="720"/>
      </w:pPr>
      <w:r>
        <w:t xml:space="preserve">Директивата на ЕУ </w:t>
      </w:r>
      <w:r w:rsidR="00AE0C68">
        <w:t>за заштита на жртви</w:t>
      </w:r>
      <w:r>
        <w:t>те, пак</w:t>
      </w:r>
      <w:r w:rsidR="000F73B4">
        <w:rPr>
          <w:lang w:val="en-GB"/>
        </w:rPr>
        <w:t>,</w:t>
      </w:r>
      <w:r>
        <w:t xml:space="preserve"> става нагласка на соодветна поддршка на жените и децата кои биле жртви на насилство.</w:t>
      </w:r>
      <w:r>
        <w:rPr>
          <w:rStyle w:val="FootnoteReference"/>
        </w:rPr>
        <w:footnoteReference w:id="12"/>
      </w:r>
      <w:r>
        <w:t xml:space="preserve"> </w:t>
      </w:r>
    </w:p>
    <w:p w14:paraId="50A5D182" w14:textId="0359AD2D" w:rsidR="009F4F2F" w:rsidRDefault="009F4F2F" w:rsidP="00AE0C68">
      <w:pPr>
        <w:spacing w:after="120"/>
        <w:ind w:firstLine="720"/>
      </w:pPr>
      <w:r>
        <w:t>Заштитата на вредностите на ЕУ, меѓу кои се еднаквоста</w:t>
      </w:r>
      <w:r w:rsidR="009F7CA7">
        <w:rPr>
          <w:lang w:val="en-GB"/>
        </w:rPr>
        <w:t>,</w:t>
      </w:r>
      <w:r>
        <w:t xml:space="preserve"> и толеранцијата</w:t>
      </w:r>
      <w:r w:rsidR="009F7CA7">
        <w:rPr>
          <w:lang w:val="en-GB"/>
        </w:rPr>
        <w:t xml:space="preserve"> </w:t>
      </w:r>
      <w:r w:rsidR="009F7CA7">
        <w:t>и недискриминацијата</w:t>
      </w:r>
      <w:r>
        <w:t>, е една од стратешките цели на ЕУ за периодот 2019-2024 година</w:t>
      </w:r>
      <w:r w:rsidR="008D4768">
        <w:t>.</w:t>
      </w:r>
      <w:r w:rsidR="009F7CA7">
        <w:rPr>
          <w:rStyle w:val="FootnoteReference"/>
        </w:rPr>
        <w:footnoteReference w:id="13"/>
      </w:r>
      <w:r w:rsidR="008D4768">
        <w:t xml:space="preserve"> </w:t>
      </w:r>
      <w:r w:rsidR="009F7CA7">
        <w:t xml:space="preserve">Покрај тоа, продолжува спроведувањето на Европскиот </w:t>
      </w:r>
      <w:r w:rsidR="00A961F5">
        <w:t>столб на социјални права</w:t>
      </w:r>
      <w:r w:rsidR="009F7CA7">
        <w:t>.</w:t>
      </w:r>
      <w:r w:rsidR="009F7CA7">
        <w:rPr>
          <w:rStyle w:val="FootnoteReference"/>
        </w:rPr>
        <w:footnoteReference w:id="14"/>
      </w:r>
      <w:r w:rsidR="00A961F5">
        <w:t xml:space="preserve"> </w:t>
      </w:r>
      <w:r w:rsidR="008D4768">
        <w:t xml:space="preserve">Инклузивноста и недискриминацијата во образованието се </w:t>
      </w:r>
      <w:r w:rsidR="00A961F5">
        <w:t xml:space="preserve">значаен </w:t>
      </w:r>
      <w:r w:rsidR="008A19AD">
        <w:t>принцип</w:t>
      </w:r>
      <w:r w:rsidR="008D4768">
        <w:t xml:space="preserve"> на следниве стратешки и акциски документи на ЕУ:</w:t>
      </w:r>
      <w:r>
        <w:t xml:space="preserve">.  </w:t>
      </w:r>
    </w:p>
    <w:p w14:paraId="7276AEFA" w14:textId="4A95F068" w:rsidR="009F4F2F" w:rsidRDefault="009F4F2F" w:rsidP="009F4F2F">
      <w:pPr>
        <w:pStyle w:val="ListParagraph"/>
        <w:numPr>
          <w:ilvl w:val="0"/>
          <w:numId w:val="14"/>
        </w:numPr>
        <w:spacing w:after="120"/>
      </w:pPr>
      <w:r w:rsidRPr="003901CD">
        <w:t>Стратегија за родова еднакв</w:t>
      </w:r>
      <w:r w:rsidR="00FC4E75">
        <w:t>о</w:t>
      </w:r>
      <w:r w:rsidRPr="003901CD">
        <w:t>ст</w:t>
      </w:r>
      <w:r w:rsidR="007F75F2">
        <w:t xml:space="preserve"> 2020-2025</w:t>
      </w:r>
      <w:r w:rsidR="007F75F2">
        <w:rPr>
          <w:rStyle w:val="FootnoteReference"/>
        </w:rPr>
        <w:footnoteReference w:id="15"/>
      </w:r>
      <w:r w:rsidR="00FC4E75">
        <w:t xml:space="preserve">; </w:t>
      </w:r>
    </w:p>
    <w:p w14:paraId="3647FE76" w14:textId="7CEB1ECE" w:rsidR="008D4768" w:rsidRDefault="00FC4E75" w:rsidP="00A961F5">
      <w:pPr>
        <w:pStyle w:val="ListParagraph"/>
        <w:numPr>
          <w:ilvl w:val="0"/>
          <w:numId w:val="14"/>
        </w:numPr>
        <w:spacing w:after="120"/>
      </w:pPr>
      <w:r>
        <w:t>Стра</w:t>
      </w:r>
      <w:r w:rsidR="003D1C10">
        <w:t>тегија</w:t>
      </w:r>
      <w:r>
        <w:t xml:space="preserve"> за </w:t>
      </w:r>
      <w:r w:rsidR="007F75F2">
        <w:t>еднаквост на ЛГБИТК 2020-2025</w:t>
      </w:r>
      <w:r w:rsidR="007F75F2">
        <w:rPr>
          <w:rStyle w:val="FootnoteReference"/>
        </w:rPr>
        <w:footnoteReference w:id="16"/>
      </w:r>
      <w:r w:rsidR="007F75F2">
        <w:t>;</w:t>
      </w:r>
      <w:r w:rsidR="008D4768" w:rsidRPr="003901CD">
        <w:t>Акциски план за демократија и човекови права</w:t>
      </w:r>
      <w:r w:rsidR="006C7415">
        <w:rPr>
          <w:rStyle w:val="FootnoteReference"/>
        </w:rPr>
        <w:footnoteReference w:id="17"/>
      </w:r>
      <w:r w:rsidR="003D1C10">
        <w:t>;</w:t>
      </w:r>
    </w:p>
    <w:p w14:paraId="23C1C255" w14:textId="0C9AD1D2" w:rsidR="008D4768" w:rsidRDefault="008D4768" w:rsidP="009F4F2F">
      <w:pPr>
        <w:pStyle w:val="ListParagraph"/>
        <w:numPr>
          <w:ilvl w:val="0"/>
          <w:numId w:val="14"/>
        </w:numPr>
        <w:spacing w:after="120"/>
      </w:pPr>
      <w:r>
        <w:t>Стратегијата за млади 2019-2027</w:t>
      </w:r>
      <w:r w:rsidR="006C7415">
        <w:rPr>
          <w:rStyle w:val="FootnoteReference"/>
        </w:rPr>
        <w:footnoteReference w:id="18"/>
      </w:r>
      <w:r>
        <w:t>;</w:t>
      </w:r>
    </w:p>
    <w:p w14:paraId="33449AC1" w14:textId="56BE3B30" w:rsidR="008D4768" w:rsidRDefault="003D1C10" w:rsidP="009F4F2F">
      <w:pPr>
        <w:pStyle w:val="ListParagraph"/>
        <w:numPr>
          <w:ilvl w:val="0"/>
          <w:numId w:val="14"/>
        </w:numPr>
        <w:spacing w:after="120"/>
      </w:pPr>
      <w:r>
        <w:t>Евро</w:t>
      </w:r>
      <w:r w:rsidR="008D4768">
        <w:t>п</w:t>
      </w:r>
      <w:r>
        <w:t>ска</w:t>
      </w:r>
      <w:r w:rsidR="008D4768">
        <w:t xml:space="preserve"> образовна област 2025</w:t>
      </w:r>
      <w:r w:rsidR="000F73B4">
        <w:rPr>
          <w:lang w:val="en-GB"/>
        </w:rPr>
        <w:t xml:space="preserve"> (</w:t>
      </w:r>
      <w:r w:rsidR="000F73B4">
        <w:t>Коминике</w:t>
      </w:r>
      <w:r w:rsidR="000F73B4">
        <w:rPr>
          <w:lang w:val="en-GB"/>
        </w:rPr>
        <w:t>)</w:t>
      </w:r>
      <w:r w:rsidR="006C7415">
        <w:rPr>
          <w:rStyle w:val="FootnoteReference"/>
        </w:rPr>
        <w:footnoteReference w:id="19"/>
      </w:r>
      <w:r w:rsidR="008D4768">
        <w:t xml:space="preserve">. </w:t>
      </w:r>
    </w:p>
    <w:p w14:paraId="4E23AEAC" w14:textId="33028EF0" w:rsidR="009F4F2F" w:rsidRPr="00F303EE" w:rsidRDefault="003D1C10" w:rsidP="00F04E03">
      <w:pPr>
        <w:spacing w:after="120"/>
        <w:ind w:firstLine="720"/>
      </w:pPr>
      <w:r>
        <w:t xml:space="preserve">Со </w:t>
      </w:r>
      <w:r w:rsidR="009F4F2F" w:rsidRPr="00F303EE">
        <w:t>Препорака</w:t>
      </w:r>
      <w:r>
        <w:t>та</w:t>
      </w:r>
      <w:r w:rsidR="009F4F2F" w:rsidRPr="00F303EE">
        <w:t xml:space="preserve"> на Советот на ЕУ за </w:t>
      </w:r>
      <w:r>
        <w:t xml:space="preserve">унапредување на заедничките вредности, инклузивното образование и за европската димензија на наставата, државите членки на ЕУ се залагаат за образование кое ќе ги зголеми споделувањето на заедничките вредности востановени во членот 2 </w:t>
      </w:r>
      <w:r w:rsidR="00CF7EF5">
        <w:t>о</w:t>
      </w:r>
      <w:r>
        <w:t>д Договоро</w:t>
      </w:r>
      <w:r w:rsidR="00CF7EF5">
        <w:t>т</w:t>
      </w:r>
      <w:r>
        <w:t xml:space="preserve"> за Европската унија. </w:t>
      </w:r>
      <w:r>
        <w:rPr>
          <w:rStyle w:val="FootnoteReference"/>
        </w:rPr>
        <w:footnoteReference w:id="20"/>
      </w:r>
      <w:r>
        <w:t xml:space="preserve"> </w:t>
      </w:r>
    </w:p>
    <w:p w14:paraId="49F0CE15" w14:textId="19D009F0" w:rsidR="009F4F2F" w:rsidRDefault="009F4F2F" w:rsidP="009F4F2F">
      <w:pPr>
        <w:spacing w:after="120"/>
        <w:ind w:firstLine="720"/>
      </w:pPr>
      <w:r>
        <w:t xml:space="preserve">Европскиот суд за човекови права и Судот на правдата на ЕУ имаат развиена судска практика за еднаквоста и недискриминацијата во образованието, главно од аспект на пристапот </w:t>
      </w:r>
      <w:r w:rsidR="000839B4">
        <w:t xml:space="preserve">до </w:t>
      </w:r>
      <w:r>
        <w:t xml:space="preserve">обрзование. </w:t>
      </w:r>
    </w:p>
    <w:p w14:paraId="361ECE0D" w14:textId="2F4B5D0D" w:rsidR="009F4F2F" w:rsidRDefault="008C25A6" w:rsidP="009F4F2F">
      <w:pPr>
        <w:spacing w:after="120"/>
        <w:ind w:firstLine="720"/>
      </w:pPr>
      <w:r>
        <w:t>На</w:t>
      </w:r>
      <w:r w:rsidR="009F4F2F">
        <w:t xml:space="preserve"> глобалн</w:t>
      </w:r>
      <w:r>
        <w:t>о</w:t>
      </w:r>
      <w:r w:rsidR="009F4F2F">
        <w:t xml:space="preserve"> и европски</w:t>
      </w:r>
      <w:r>
        <w:t>о</w:t>
      </w:r>
      <w:r w:rsidR="009F4F2F">
        <w:t xml:space="preserve"> </w:t>
      </w:r>
      <w:r>
        <w:t xml:space="preserve">ниво </w:t>
      </w:r>
      <w:r w:rsidR="009F4F2F">
        <w:t>с</w:t>
      </w:r>
      <w:r w:rsidR="009F4F2F">
        <w:rPr>
          <w:rFonts w:cstheme="minorHAnsi"/>
        </w:rPr>
        <w:t>ѐ</w:t>
      </w:r>
      <w:r w:rsidR="009F4F2F">
        <w:t xml:space="preserve"> повеќе се </w:t>
      </w:r>
      <w:r w:rsidR="00A33C16">
        <w:t xml:space="preserve">воспоставуваат механизми и се </w:t>
      </w:r>
      <w:r w:rsidR="009F4F2F">
        <w:t>анализират и разменуваат добри практики за еднаквоста и толеранцијата во образованието,</w:t>
      </w:r>
      <w:r w:rsidR="002742D5">
        <w:t xml:space="preserve"> вклучувајќи </w:t>
      </w:r>
      <w:r w:rsidR="00AE0C68">
        <w:t xml:space="preserve">и </w:t>
      </w:r>
      <w:r w:rsidR="00A33C16">
        <w:t xml:space="preserve">за </w:t>
      </w:r>
      <w:r w:rsidR="00AE0C68">
        <w:t xml:space="preserve">родовото базирано </w:t>
      </w:r>
      <w:r w:rsidR="00AE0C68">
        <w:lastRenderedPageBreak/>
        <w:t>насилство</w:t>
      </w:r>
      <w:r w:rsidR="002742D5">
        <w:t xml:space="preserve"> и булинг во училиштата</w:t>
      </w:r>
      <w:r w:rsidR="00AE0C68">
        <w:t xml:space="preserve">, </w:t>
      </w:r>
      <w:r w:rsidR="009F4F2F">
        <w:t xml:space="preserve">кои </w:t>
      </w:r>
      <w:r w:rsidR="00A33C16">
        <w:t xml:space="preserve">претставуваат ресурси </w:t>
      </w:r>
      <w:r w:rsidR="009F4F2F">
        <w:t xml:space="preserve">за обновување односно воспоставување соодветни механизми и практики на национално ниво. </w:t>
      </w:r>
    </w:p>
    <w:p w14:paraId="56D39B11" w14:textId="77777777" w:rsidR="009F4F2F" w:rsidRDefault="009F4F2F" w:rsidP="009F4F2F">
      <w:pPr>
        <w:spacing w:after="120"/>
        <w:ind w:firstLine="720"/>
      </w:pPr>
      <w:r>
        <w:t>Во рамки на системите за следење на спроведување на меѓународните документи, Северна Македонија известува за спроведувањето на сопствените обврски, а добива и насоки и препораки од соодветните тела на меѓународните организации за натамошни унапредувања – како на законодавната рамка, така и на спроведувањето.</w:t>
      </w:r>
    </w:p>
    <w:p w14:paraId="0EF0CCEC" w14:textId="77777777" w:rsidR="009F4F2F" w:rsidRPr="00D50F60" w:rsidRDefault="009F4F2F" w:rsidP="009F4F2F">
      <w:pPr>
        <w:spacing w:after="120"/>
      </w:pPr>
    </w:p>
    <w:p w14:paraId="00000087" w14:textId="77777777" w:rsidR="00D07151" w:rsidRDefault="00D07151">
      <w:pPr>
        <w:ind w:firstLine="720"/>
        <w:jc w:val="both"/>
      </w:pPr>
    </w:p>
    <w:p w14:paraId="00000088" w14:textId="77777777" w:rsidR="00D07151" w:rsidRDefault="00D07151">
      <w:pPr>
        <w:rPr>
          <w:rFonts w:ascii="Arial Narrow" w:eastAsia="Arial Narrow" w:hAnsi="Arial Narrow" w:cs="Arial Narrow"/>
        </w:rPr>
        <w:sectPr w:rsidR="00D07151">
          <w:footerReference w:type="default" r:id="rId12"/>
          <w:pgSz w:w="11906" w:h="16838"/>
          <w:pgMar w:top="720" w:right="720" w:bottom="720" w:left="720" w:header="283" w:footer="283" w:gutter="0"/>
          <w:pgNumType w:start="1"/>
          <w:cols w:space="720"/>
        </w:sectPr>
      </w:pPr>
    </w:p>
    <w:p w14:paraId="00000089" w14:textId="77777777" w:rsidR="00D07151" w:rsidRDefault="00D07151">
      <w:pPr>
        <w:rPr>
          <w:rFonts w:ascii="Arial Narrow" w:eastAsia="Arial Narrow" w:hAnsi="Arial Narrow" w:cs="Arial Narrow"/>
        </w:rPr>
      </w:pPr>
    </w:p>
    <w:p w14:paraId="2FE10BE6" w14:textId="60556346" w:rsidR="00152A46" w:rsidRPr="00743000" w:rsidRDefault="00152A46" w:rsidP="00743000">
      <w:pPr>
        <w:pStyle w:val="Heading1"/>
      </w:pPr>
      <w:bookmarkStart w:id="6" w:name="_Toc86415311"/>
      <w:bookmarkStart w:id="7" w:name="_Toc88737881"/>
      <w:r w:rsidRPr="00743000">
        <w:t>Рамка за застапување</w:t>
      </w:r>
      <w:bookmarkEnd w:id="6"/>
      <w:r w:rsidRPr="00743000">
        <w:t xml:space="preserve"> </w:t>
      </w:r>
      <w:r w:rsidR="000F73B4" w:rsidRPr="00F04E03">
        <w:t xml:space="preserve">– </w:t>
      </w:r>
      <w:r w:rsidR="000F73B4" w:rsidRPr="00743000">
        <w:t>теми и аргументи</w:t>
      </w:r>
      <w:bookmarkEnd w:id="7"/>
    </w:p>
    <w:p w14:paraId="6792405B" w14:textId="09B46419" w:rsidR="00152A46" w:rsidRDefault="00152A46" w:rsidP="00F04E03">
      <w:pPr>
        <w:ind w:firstLine="720"/>
      </w:pPr>
      <w:r>
        <w:t xml:space="preserve">Во оваа рамка за застапување се издвоени клучните теми односно проблеми </w:t>
      </w:r>
      <w:r w:rsidR="000E7564">
        <w:t xml:space="preserve">за застапување </w:t>
      </w:r>
      <w:r>
        <w:t>идентификувани во постој</w:t>
      </w:r>
      <w:r w:rsidR="000E7564">
        <w:t>ните д</w:t>
      </w:r>
      <w:r>
        <w:t>окументи на Коалицијата</w:t>
      </w:r>
      <w:r w:rsidR="000E7564">
        <w:t>, за кои се цени дека се можни интервенции на Коалицијата во периодот 2022-2024 година</w:t>
      </w:r>
      <w:r>
        <w:t xml:space="preserve">. За секоја тема се </w:t>
      </w:r>
      <w:r w:rsidR="000E7564">
        <w:t xml:space="preserve">дава оценка на постојната состојба, и се проектира посакуваната состојба, односно се утврдува каква промена Коалицијата сака да постигне. Потоа се даваат аргументи за промената, поврзани со референтните стандарди и најдобри практики на ЕУ, ООН, СЕ и други релевантни меѓународни организации. Натаму, се идентификуваат противниците и нивните контра-аргументи, како и можните сојузници за застапување за идентификуваните теми.  </w:t>
      </w:r>
    </w:p>
    <w:p w14:paraId="6870D910" w14:textId="405C56F4" w:rsidR="005816D9" w:rsidRPr="000E7564" w:rsidRDefault="005816D9" w:rsidP="00743000">
      <w:pPr>
        <w:ind w:firstLine="360"/>
      </w:pPr>
      <w:r>
        <w:t>Овој документ е работен, отворен и динамичен. Тој служи како основа за натамошно развивање на аргументацијата за клучните точки на застапување на Коалцијата МАРГИНИ во периодот 2022-2024 година</w:t>
      </w:r>
      <w:r w:rsidR="007A0B0E">
        <w:t>.</w:t>
      </w:r>
      <w:r>
        <w:t xml:space="preserve"> </w:t>
      </w:r>
    </w:p>
    <w:p w14:paraId="70BBE009" w14:textId="77777777" w:rsidR="00152A46" w:rsidRPr="00D5476F" w:rsidRDefault="00152A46" w:rsidP="00A33C16">
      <w:pPr>
        <w:pStyle w:val="Heading2"/>
      </w:pPr>
      <w:bookmarkStart w:id="8" w:name="_Toc88737882"/>
      <w:r w:rsidRPr="00D5476F">
        <w:t xml:space="preserve">Дискриминаторски и </w:t>
      </w:r>
      <w:r w:rsidRPr="00152A46">
        <w:t>родово</w:t>
      </w:r>
      <w:r w:rsidRPr="00D5476F">
        <w:t>-стереотипни содржини во учебниците</w:t>
      </w:r>
      <w:bookmarkEnd w:id="8"/>
    </w:p>
    <w:p w14:paraId="728EB892" w14:textId="77777777" w:rsidR="00152A46" w:rsidRDefault="00152A46" w:rsidP="00152A46"/>
    <w:tbl>
      <w:tblPr>
        <w:tblStyle w:val="TableGrid"/>
        <w:tblW w:w="0" w:type="auto"/>
        <w:tblLook w:val="04A0" w:firstRow="1" w:lastRow="0" w:firstColumn="1" w:lastColumn="0" w:noHBand="0" w:noVBand="1"/>
      </w:tblPr>
      <w:tblGrid>
        <w:gridCol w:w="8784"/>
        <w:gridCol w:w="6520"/>
      </w:tblGrid>
      <w:tr w:rsidR="00152A46" w14:paraId="654DEA4A" w14:textId="77777777" w:rsidTr="00031885">
        <w:tc>
          <w:tcPr>
            <w:tcW w:w="8784" w:type="dxa"/>
            <w:shd w:val="clear" w:color="auto" w:fill="BDD6EE" w:themeFill="accent1" w:themeFillTint="66"/>
          </w:tcPr>
          <w:p w14:paraId="684BAA41" w14:textId="77777777" w:rsidR="00152A46" w:rsidRDefault="00152A46" w:rsidP="00031885">
            <w:pPr>
              <w:spacing w:after="80"/>
              <w:rPr>
                <w:b/>
              </w:rPr>
            </w:pPr>
            <w:r>
              <w:rPr>
                <w:b/>
              </w:rPr>
              <w:t>Сегашна состојба</w:t>
            </w:r>
          </w:p>
        </w:tc>
        <w:tc>
          <w:tcPr>
            <w:tcW w:w="6520" w:type="dxa"/>
            <w:shd w:val="clear" w:color="auto" w:fill="BDD6EE" w:themeFill="accent1" w:themeFillTint="66"/>
          </w:tcPr>
          <w:p w14:paraId="39CF6B23" w14:textId="77777777" w:rsidR="00152A46" w:rsidRDefault="00152A46" w:rsidP="00031885">
            <w:pPr>
              <w:tabs>
                <w:tab w:val="left" w:pos="15"/>
                <w:tab w:val="left" w:pos="624"/>
              </w:tabs>
              <w:spacing w:after="80"/>
              <w:rPr>
                <w:b/>
              </w:rPr>
            </w:pPr>
            <w:r>
              <w:rPr>
                <w:b/>
              </w:rPr>
              <w:t xml:space="preserve">Посакувана состојба (Каква промена сакаме?) </w:t>
            </w:r>
          </w:p>
        </w:tc>
      </w:tr>
      <w:tr w:rsidR="00152A46" w14:paraId="2A262907" w14:textId="77777777" w:rsidTr="00031885">
        <w:tc>
          <w:tcPr>
            <w:tcW w:w="8784" w:type="dxa"/>
          </w:tcPr>
          <w:p w14:paraId="79220B25" w14:textId="77777777" w:rsidR="00152A46" w:rsidRDefault="00152A46" w:rsidP="00031885">
            <w:r>
              <w:t>Анализите на учебници од основно образование на МТСП и ОБСЕ покажуваат присуство на дискриминаторски и родово стереотипни содржини</w:t>
            </w:r>
          </w:p>
        </w:tc>
        <w:tc>
          <w:tcPr>
            <w:tcW w:w="6520" w:type="dxa"/>
          </w:tcPr>
          <w:p w14:paraId="2A128AB8" w14:textId="77777777" w:rsidR="00152A46" w:rsidRDefault="00152A46" w:rsidP="00031885">
            <w:pPr>
              <w:tabs>
                <w:tab w:val="left" w:pos="15"/>
                <w:tab w:val="left" w:pos="624"/>
              </w:tabs>
              <w:spacing w:after="80"/>
            </w:pPr>
            <w:r>
              <w:t>-Отстранување на ваквите содржини од учебниците;</w:t>
            </w:r>
          </w:p>
          <w:p w14:paraId="24608D7C" w14:textId="77777777" w:rsidR="00152A46" w:rsidRDefault="00152A46" w:rsidP="00031885">
            <w:pPr>
              <w:tabs>
                <w:tab w:val="left" w:pos="15"/>
                <w:tab w:val="left" w:pos="624"/>
              </w:tabs>
              <w:spacing w:after="80"/>
            </w:pPr>
            <w:r>
              <w:t>-Внесување на содржини кои промовираат родова еднаквост и недискриминација;</w:t>
            </w:r>
          </w:p>
          <w:p w14:paraId="2720A351" w14:textId="04629DBD" w:rsidR="00152A46" w:rsidRPr="001358EC" w:rsidRDefault="00152A46" w:rsidP="00F92FBA">
            <w:pPr>
              <w:rPr>
                <w:lang w:val="en-GB"/>
              </w:rPr>
            </w:pPr>
            <w:r>
              <w:t>-Воспоставување механизми за обезбедување недискриминаторски и инклузивни</w:t>
            </w:r>
            <w:r>
              <w:rPr>
                <w:lang w:val="en-GB"/>
              </w:rPr>
              <w:t xml:space="preserve"> </w:t>
            </w:r>
            <w:r w:rsidR="007A0B0E">
              <w:t>содржини во учебниците.</w:t>
            </w:r>
          </w:p>
        </w:tc>
      </w:tr>
    </w:tbl>
    <w:p w14:paraId="1500B9C7" w14:textId="77777777" w:rsidR="00152A46" w:rsidRDefault="00152A46" w:rsidP="00152A46"/>
    <w:tbl>
      <w:tblPr>
        <w:tblStyle w:val="TableGrid"/>
        <w:tblW w:w="0" w:type="auto"/>
        <w:tblLook w:val="04A0" w:firstRow="1" w:lastRow="0" w:firstColumn="1" w:lastColumn="0" w:noHBand="0" w:noVBand="1"/>
      </w:tblPr>
      <w:tblGrid>
        <w:gridCol w:w="8784"/>
        <w:gridCol w:w="2126"/>
        <w:gridCol w:w="2268"/>
        <w:gridCol w:w="2210"/>
      </w:tblGrid>
      <w:tr w:rsidR="000F73B4" w14:paraId="0378A82A" w14:textId="77777777" w:rsidTr="00031885">
        <w:trPr>
          <w:tblHeader/>
        </w:trPr>
        <w:tc>
          <w:tcPr>
            <w:tcW w:w="8784" w:type="dxa"/>
            <w:shd w:val="clear" w:color="auto" w:fill="9CC2E5" w:themeFill="accent1" w:themeFillTint="99"/>
          </w:tcPr>
          <w:p w14:paraId="57E3BEAA" w14:textId="77777777" w:rsidR="00152A46" w:rsidRDefault="00152A46" w:rsidP="00031885">
            <w:pPr>
              <w:spacing w:after="80"/>
              <w:rPr>
                <w:b/>
              </w:rPr>
            </w:pPr>
            <w:r w:rsidRPr="00D5476F">
              <w:rPr>
                <w:b/>
              </w:rPr>
              <w:t xml:space="preserve">Аргументи </w:t>
            </w:r>
          </w:p>
        </w:tc>
        <w:tc>
          <w:tcPr>
            <w:tcW w:w="2126" w:type="dxa"/>
          </w:tcPr>
          <w:p w14:paraId="57166283" w14:textId="77777777" w:rsidR="00152A46" w:rsidRDefault="00152A46" w:rsidP="00031885">
            <w:pPr>
              <w:spacing w:after="80"/>
              <w:rPr>
                <w:b/>
              </w:rPr>
            </w:pPr>
            <w:r>
              <w:rPr>
                <w:b/>
              </w:rPr>
              <w:t>Извори за аргументи</w:t>
            </w:r>
          </w:p>
        </w:tc>
        <w:tc>
          <w:tcPr>
            <w:tcW w:w="2268" w:type="dxa"/>
          </w:tcPr>
          <w:p w14:paraId="10CE24DE" w14:textId="77777777" w:rsidR="00152A46" w:rsidRDefault="00152A46" w:rsidP="00031885">
            <w:pPr>
              <w:spacing w:after="80"/>
              <w:rPr>
                <w:b/>
              </w:rPr>
            </w:pPr>
            <w:r>
              <w:rPr>
                <w:b/>
              </w:rPr>
              <w:t>Противници (контра-аргументи)</w:t>
            </w:r>
          </w:p>
        </w:tc>
        <w:tc>
          <w:tcPr>
            <w:tcW w:w="2210" w:type="dxa"/>
          </w:tcPr>
          <w:p w14:paraId="4F6913FE" w14:textId="77777777" w:rsidR="00152A46" w:rsidRDefault="00152A46" w:rsidP="00031885">
            <w:pPr>
              <w:spacing w:after="80"/>
              <w:rPr>
                <w:b/>
              </w:rPr>
            </w:pPr>
            <w:r>
              <w:rPr>
                <w:b/>
              </w:rPr>
              <w:t xml:space="preserve">Сојузници </w:t>
            </w:r>
          </w:p>
        </w:tc>
      </w:tr>
      <w:tr w:rsidR="00152A46" w14:paraId="3732EA01" w14:textId="77777777" w:rsidTr="00031885">
        <w:tc>
          <w:tcPr>
            <w:tcW w:w="8784" w:type="dxa"/>
          </w:tcPr>
          <w:p w14:paraId="24042085" w14:textId="77777777" w:rsidR="00152A46" w:rsidRPr="00F04E03" w:rsidRDefault="00152A46" w:rsidP="00031885">
            <w:pPr>
              <w:spacing w:after="80"/>
              <w:rPr>
                <w:highlight w:val="yellow"/>
              </w:rPr>
            </w:pPr>
            <w:r w:rsidRPr="00F04E03">
              <w:rPr>
                <w:highlight w:val="yellow"/>
              </w:rPr>
              <w:t>-</w:t>
            </w:r>
            <w:r w:rsidRPr="00F04E03">
              <w:rPr>
                <w:highlight w:val="yellow"/>
                <w:lang w:val="sr-Latn-RS"/>
              </w:rPr>
              <w:t>F</w:t>
            </w:r>
            <w:r w:rsidRPr="00F04E03">
              <w:rPr>
                <w:highlight w:val="yellow"/>
              </w:rPr>
              <w:t>reedom to pursue educational paths without the constraints of stereotypical gender norms</w:t>
            </w:r>
          </w:p>
          <w:p w14:paraId="4D605D84" w14:textId="77777777" w:rsidR="00152A46" w:rsidRPr="00F04E03" w:rsidRDefault="00152A46" w:rsidP="00031885">
            <w:pPr>
              <w:spacing w:after="80"/>
              <w:rPr>
                <w:highlight w:val="yellow"/>
              </w:rPr>
            </w:pPr>
            <w:r w:rsidRPr="00F04E03">
              <w:rPr>
                <w:highlight w:val="yellow"/>
              </w:rPr>
              <w:t>-Effective prevention of violence is key. It involves educating boys and girls from an early age about gender equality and supporting the development of non-violent relationships</w:t>
            </w:r>
          </w:p>
          <w:p w14:paraId="04F06A92" w14:textId="77777777" w:rsidR="00152A46" w:rsidRPr="00F04E03" w:rsidRDefault="00152A46" w:rsidP="00031885">
            <w:pPr>
              <w:spacing w:after="80"/>
              <w:rPr>
                <w:highlight w:val="yellow"/>
              </w:rPr>
            </w:pPr>
            <w:r w:rsidRPr="00F04E03">
              <w:rPr>
                <w:highlight w:val="yellow"/>
              </w:rPr>
              <w:t>-Gender stereotypes on women and men limit their aspirations, choices and freedom, and strongly contribute to the gender pay gap.</w:t>
            </w:r>
          </w:p>
          <w:p w14:paraId="16351FCF" w14:textId="77777777" w:rsidR="00152A46" w:rsidRPr="00F04E03" w:rsidRDefault="00152A46" w:rsidP="00031885">
            <w:pPr>
              <w:spacing w:after="80"/>
              <w:rPr>
                <w:shd w:val="clear" w:color="auto" w:fill="B6D7A8"/>
              </w:rPr>
            </w:pPr>
            <w:r w:rsidRPr="00F04E03">
              <w:rPr>
                <w:shd w:val="clear" w:color="auto" w:fill="B6D7A8"/>
              </w:rPr>
              <w:t>-Promoting a more inclusive education is in the interests of all students and citizens, and it helps to combat stereotypes and to building a fairer society for all</w:t>
            </w:r>
          </w:p>
          <w:p w14:paraId="0F120798" w14:textId="77777777" w:rsidR="00152A46" w:rsidRPr="00F04E03" w:rsidRDefault="00152A46" w:rsidP="00031885">
            <w:pPr>
              <w:spacing w:after="80"/>
              <w:rPr>
                <w:shd w:val="clear" w:color="auto" w:fill="DD7E6B"/>
              </w:rPr>
            </w:pPr>
            <w:r w:rsidRPr="00F04E03">
              <w:rPr>
                <w:shd w:val="clear" w:color="auto" w:fill="DD7E6B"/>
              </w:rPr>
              <w:lastRenderedPageBreak/>
              <w:t>-Diversity in our society and economy is a strength. Discrimination on grounds of sex, racial or ethnic origin, religion or belief, disability, age or sexual orientation is prohibited in the EU...Combating stereotypes and discrimination in employment, training, education, social protection, housing and health requires resolute action at national, regional and local level, including by social partners, national equality bodies, companies and civil society.</w:t>
            </w:r>
          </w:p>
          <w:p w14:paraId="41B9F8F5" w14:textId="77777777" w:rsidR="00152A46" w:rsidRPr="00F04E03" w:rsidRDefault="00152A46" w:rsidP="00031885">
            <w:pPr>
              <w:spacing w:after="80"/>
              <w:rPr>
                <w:shd w:val="clear" w:color="auto" w:fill="C9DAF8"/>
              </w:rPr>
            </w:pPr>
            <w:r w:rsidRPr="00F04E03">
              <w:rPr>
                <w:shd w:val="clear" w:color="auto" w:fill="C9DAF8"/>
              </w:rPr>
              <w:t>-make gender equality one of the quality criteria for the production of these materials</w:t>
            </w:r>
          </w:p>
          <w:p w14:paraId="1690A553" w14:textId="77777777" w:rsidR="00152A46" w:rsidRPr="00F04E03" w:rsidRDefault="00152A46" w:rsidP="00031885">
            <w:pPr>
              <w:spacing w:after="120" w:line="276" w:lineRule="auto"/>
              <w:rPr>
                <w:shd w:val="clear" w:color="auto" w:fill="C9DAF8"/>
              </w:rPr>
            </w:pPr>
            <w:r w:rsidRPr="00F04E03">
              <w:rPr>
                <w:shd w:val="clear" w:color="auto" w:fill="C9DAF8"/>
              </w:rPr>
              <w:t>-eliminate sexist stereotypes and distortions in textbooks</w:t>
            </w:r>
          </w:p>
          <w:p w14:paraId="46231E38" w14:textId="77777777" w:rsidR="00152A46" w:rsidRPr="00F04E03" w:rsidRDefault="00152A46" w:rsidP="00031885">
            <w:pPr>
              <w:spacing w:after="120" w:line="276" w:lineRule="auto"/>
              <w:rPr>
                <w:shd w:val="clear" w:color="auto" w:fill="C9DAF8"/>
              </w:rPr>
            </w:pPr>
            <w:r w:rsidRPr="00F04E03">
              <w:rPr>
                <w:shd w:val="clear" w:color="auto" w:fill="C9DAF8"/>
              </w:rPr>
              <w:t>-counter sexism in the content, language and illustrations</w:t>
            </w:r>
          </w:p>
          <w:p w14:paraId="4C4B259B" w14:textId="77777777" w:rsidR="00152A46" w:rsidRPr="00F04E03" w:rsidRDefault="00152A46" w:rsidP="00031885">
            <w:pPr>
              <w:spacing w:line="276" w:lineRule="auto"/>
              <w:rPr>
                <w:shd w:val="clear" w:color="auto" w:fill="EAD1DC"/>
              </w:rPr>
            </w:pPr>
            <w:r w:rsidRPr="00F04E03">
              <w:rPr>
                <w:shd w:val="clear" w:color="auto" w:fill="EAD1DC"/>
              </w:rPr>
              <w:t>-include factual and non-judgmental information about sexual and gender diversity</w:t>
            </w:r>
          </w:p>
          <w:p w14:paraId="79EE8E49" w14:textId="77777777" w:rsidR="00152A46" w:rsidRPr="00F04E03" w:rsidRDefault="00152A46" w:rsidP="00031885">
            <w:pPr>
              <w:spacing w:after="120" w:line="276" w:lineRule="auto"/>
              <w:rPr>
                <w:shd w:val="clear" w:color="auto" w:fill="EAD1DC"/>
              </w:rPr>
            </w:pPr>
            <w:r w:rsidRPr="00F04E03">
              <w:rPr>
                <w:shd w:val="clear" w:color="auto" w:fill="EAD1DC"/>
              </w:rPr>
              <w:t>-refer to equality and non-discrimination on all grounds</w:t>
            </w:r>
          </w:p>
          <w:p w14:paraId="4FD584B3" w14:textId="77777777" w:rsidR="00152A46" w:rsidRPr="00F04E03" w:rsidRDefault="00152A46" w:rsidP="00031885">
            <w:pPr>
              <w:spacing w:after="120" w:line="276" w:lineRule="auto"/>
              <w:rPr>
                <w:shd w:val="clear" w:color="auto" w:fill="EAD1DC"/>
              </w:rPr>
            </w:pPr>
            <w:r w:rsidRPr="00F04E03">
              <w:rPr>
                <w:shd w:val="clear" w:color="auto" w:fill="EAD1DC"/>
              </w:rPr>
              <w:t>-explicitly mention the grounds of sexual orientation and gender identity</w:t>
            </w:r>
          </w:p>
          <w:p w14:paraId="4D509C5F" w14:textId="77777777" w:rsidR="00152A46" w:rsidRPr="00F04E03" w:rsidRDefault="00152A46" w:rsidP="00031885">
            <w:pPr>
              <w:spacing w:after="120" w:line="276" w:lineRule="auto"/>
              <w:rPr>
                <w:shd w:val="clear" w:color="auto" w:fill="EAD1DC"/>
              </w:rPr>
            </w:pPr>
            <w:r w:rsidRPr="00F04E03">
              <w:rPr>
                <w:shd w:val="clear" w:color="auto" w:fill="EAD1DC"/>
              </w:rPr>
              <w:t>-explore specific issues related to sexual and gender diversity across several topics</w:t>
            </w:r>
          </w:p>
          <w:p w14:paraId="288BBE15" w14:textId="77777777" w:rsidR="00152A46" w:rsidRPr="00F04E03" w:rsidRDefault="00152A46" w:rsidP="00031885">
            <w:pPr>
              <w:spacing w:after="120" w:line="276" w:lineRule="auto"/>
              <w:rPr>
                <w:shd w:val="clear" w:color="auto" w:fill="EAD1DC"/>
              </w:rPr>
            </w:pPr>
            <w:r w:rsidRPr="00F04E03">
              <w:rPr>
                <w:shd w:val="clear" w:color="auto" w:fill="EAD1DC"/>
              </w:rPr>
              <w:t>-Curricula and materials that portray diversity and discuss equality and human rights contribute to a more equal society</w:t>
            </w:r>
          </w:p>
          <w:p w14:paraId="1407EFBE" w14:textId="77777777" w:rsidR="00152A46" w:rsidRPr="00F04E03" w:rsidRDefault="00152A46" w:rsidP="00031885">
            <w:pPr>
              <w:spacing w:line="276" w:lineRule="auto"/>
              <w:rPr>
                <w:shd w:val="clear" w:color="auto" w:fill="FFE599"/>
              </w:rPr>
            </w:pPr>
          </w:p>
          <w:p w14:paraId="0F8503C6" w14:textId="77777777" w:rsidR="00152A46" w:rsidRPr="00F04E03" w:rsidRDefault="00152A46" w:rsidP="00031885">
            <w:pPr>
              <w:spacing w:line="276" w:lineRule="auto"/>
              <w:rPr>
                <w:shd w:val="clear" w:color="auto" w:fill="FFE599"/>
              </w:rPr>
            </w:pPr>
          </w:p>
          <w:p w14:paraId="7CEE7BCC" w14:textId="77777777" w:rsidR="00152A46" w:rsidRPr="00F04E03" w:rsidRDefault="00152A46" w:rsidP="00031885">
            <w:pPr>
              <w:spacing w:line="276" w:lineRule="auto"/>
              <w:rPr>
                <w:shd w:val="clear" w:color="auto" w:fill="FFE599"/>
              </w:rPr>
            </w:pPr>
            <w:r w:rsidRPr="00F04E03">
              <w:rPr>
                <w:shd w:val="clear" w:color="auto" w:fill="FFE599"/>
              </w:rPr>
              <w:t>-providing pupils and students with the necessary information, protection and support to enable them to live in accordance with their sexual orientation and gender identity</w:t>
            </w:r>
          </w:p>
          <w:p w14:paraId="64103C24" w14:textId="77777777" w:rsidR="00152A46" w:rsidRPr="00F04E03" w:rsidRDefault="00152A46" w:rsidP="00031885">
            <w:pPr>
              <w:spacing w:line="276" w:lineRule="auto"/>
              <w:rPr>
                <w:shd w:val="clear" w:color="auto" w:fill="EAD1DC"/>
              </w:rPr>
            </w:pPr>
            <w:r w:rsidRPr="00F04E03">
              <w:rPr>
                <w:shd w:val="clear" w:color="auto" w:fill="FFE599"/>
              </w:rPr>
              <w:br/>
            </w:r>
            <w:r w:rsidRPr="00F04E03">
              <w:rPr>
                <w:highlight w:val="cyan"/>
              </w:rPr>
              <w:t>-Include teaching material on gender equality, gender-based violence,</w:t>
            </w:r>
          </w:p>
          <w:p w14:paraId="5DE014CE" w14:textId="77777777" w:rsidR="00152A46" w:rsidRPr="00F04E03" w:rsidRDefault="00152A46" w:rsidP="00031885">
            <w:pPr>
              <w:spacing w:line="276" w:lineRule="auto"/>
              <w:rPr>
                <w:highlight w:val="cyan"/>
              </w:rPr>
            </w:pPr>
            <w:r w:rsidRPr="00F04E03">
              <w:rPr>
                <w:highlight w:val="cyan"/>
              </w:rPr>
              <w:t>non-violent conflict resolution and right to personal integrity</w:t>
            </w:r>
          </w:p>
          <w:p w14:paraId="788B19F8" w14:textId="77777777" w:rsidR="00152A46" w:rsidRPr="00F04E03" w:rsidRDefault="00152A46" w:rsidP="00031885">
            <w:pPr>
              <w:spacing w:line="276" w:lineRule="auto"/>
              <w:rPr>
                <w:highlight w:val="cyan"/>
              </w:rPr>
            </w:pPr>
            <w:r w:rsidRPr="00F04E03">
              <w:rPr>
                <w:highlight w:val="cyan"/>
              </w:rPr>
              <w:t>in the formal curricula at all levels of education</w:t>
            </w:r>
          </w:p>
          <w:p w14:paraId="0B7037F5" w14:textId="77777777" w:rsidR="00152A46" w:rsidRPr="00F04E03" w:rsidRDefault="00152A46" w:rsidP="00031885">
            <w:pPr>
              <w:spacing w:line="276" w:lineRule="auto"/>
              <w:jc w:val="both"/>
              <w:rPr>
                <w:shd w:val="clear" w:color="auto" w:fill="FFE599"/>
              </w:rPr>
            </w:pPr>
          </w:p>
        </w:tc>
        <w:tc>
          <w:tcPr>
            <w:tcW w:w="2126" w:type="dxa"/>
          </w:tcPr>
          <w:p w14:paraId="6B1F6507" w14:textId="77777777" w:rsidR="00152A46" w:rsidRDefault="00152A46" w:rsidP="00031885">
            <w:pPr>
              <w:spacing w:after="80"/>
              <w:rPr>
                <w:b/>
                <w:sz w:val="20"/>
                <w:szCs w:val="20"/>
                <w:highlight w:val="yellow"/>
                <w:u w:val="single"/>
              </w:rPr>
            </w:pPr>
            <w:r>
              <w:rPr>
                <w:b/>
                <w:sz w:val="20"/>
                <w:szCs w:val="20"/>
                <w:highlight w:val="yellow"/>
                <w:u w:val="single"/>
              </w:rPr>
              <w:lastRenderedPageBreak/>
              <w:t>EU Strategy for Gender Equality</w:t>
            </w:r>
          </w:p>
          <w:p w14:paraId="2E73B222" w14:textId="77777777" w:rsidR="00152A46" w:rsidRDefault="00152A46" w:rsidP="00031885">
            <w:pPr>
              <w:spacing w:after="80"/>
              <w:rPr>
                <w:b/>
                <w:sz w:val="20"/>
                <w:szCs w:val="20"/>
                <w:highlight w:val="yellow"/>
                <w:u w:val="single"/>
              </w:rPr>
            </w:pPr>
          </w:p>
          <w:p w14:paraId="27858E1B" w14:textId="4EAF246E" w:rsidR="00152A46" w:rsidRDefault="00152A46" w:rsidP="00031885">
            <w:pPr>
              <w:spacing w:after="80"/>
              <w:rPr>
                <w:b/>
                <w:sz w:val="20"/>
                <w:szCs w:val="20"/>
                <w:u w:val="single"/>
                <w:shd w:val="clear" w:color="auto" w:fill="B6D7A8"/>
              </w:rPr>
            </w:pPr>
          </w:p>
          <w:p w14:paraId="30155E7D" w14:textId="77777777" w:rsidR="00F92FBA" w:rsidRDefault="00F92FBA" w:rsidP="00031885">
            <w:pPr>
              <w:spacing w:after="80"/>
              <w:rPr>
                <w:b/>
                <w:sz w:val="20"/>
                <w:szCs w:val="20"/>
                <w:u w:val="single"/>
                <w:shd w:val="clear" w:color="auto" w:fill="B6D7A8"/>
              </w:rPr>
            </w:pPr>
          </w:p>
          <w:p w14:paraId="49A96DC9" w14:textId="77777777" w:rsidR="00152A46" w:rsidRDefault="00152A46" w:rsidP="00031885">
            <w:pPr>
              <w:spacing w:after="80"/>
              <w:rPr>
                <w:b/>
                <w:sz w:val="20"/>
                <w:szCs w:val="20"/>
                <w:u w:val="single"/>
                <w:shd w:val="clear" w:color="auto" w:fill="B6D7A8"/>
              </w:rPr>
            </w:pPr>
            <w:r>
              <w:rPr>
                <w:b/>
                <w:sz w:val="20"/>
                <w:szCs w:val="20"/>
                <w:u w:val="single"/>
                <w:shd w:val="clear" w:color="auto" w:fill="B6D7A8"/>
              </w:rPr>
              <w:t>EU Strategy for LGBTI</w:t>
            </w:r>
          </w:p>
          <w:p w14:paraId="03E598E8" w14:textId="77777777" w:rsidR="00152A46" w:rsidRDefault="00152A46" w:rsidP="00031885">
            <w:pPr>
              <w:spacing w:after="80"/>
              <w:rPr>
                <w:b/>
                <w:sz w:val="20"/>
                <w:szCs w:val="20"/>
                <w:u w:val="single"/>
              </w:rPr>
            </w:pPr>
          </w:p>
          <w:p w14:paraId="1A27AA71" w14:textId="77777777" w:rsidR="00152A46" w:rsidRPr="001358EC" w:rsidRDefault="00152A46" w:rsidP="00031885">
            <w:pPr>
              <w:spacing w:after="80"/>
              <w:rPr>
                <w:b/>
                <w:sz w:val="20"/>
                <w:szCs w:val="20"/>
                <w:u w:val="single"/>
                <w:shd w:val="clear" w:color="auto" w:fill="DD7E6B"/>
              </w:rPr>
            </w:pPr>
            <w:r>
              <w:rPr>
                <w:b/>
                <w:sz w:val="20"/>
                <w:szCs w:val="20"/>
                <w:u w:val="single"/>
                <w:shd w:val="clear" w:color="auto" w:fill="DD7E6B"/>
              </w:rPr>
              <w:lastRenderedPageBreak/>
              <w:t>EUROPEAN PILLAR OF SOCIAL RIGHTS ACTION PLAN</w:t>
            </w:r>
          </w:p>
          <w:p w14:paraId="7EC26054" w14:textId="77777777" w:rsidR="00152A46" w:rsidRPr="001358EC" w:rsidRDefault="00152A46" w:rsidP="00031885">
            <w:pPr>
              <w:spacing w:after="80"/>
              <w:rPr>
                <w:b/>
                <w:sz w:val="20"/>
                <w:szCs w:val="20"/>
                <w:u w:val="single"/>
                <w:shd w:val="clear" w:color="auto" w:fill="C9DAF8"/>
              </w:rPr>
            </w:pPr>
            <w:r>
              <w:rPr>
                <w:b/>
                <w:sz w:val="20"/>
                <w:szCs w:val="20"/>
                <w:shd w:val="clear" w:color="auto" w:fill="C9DAF8"/>
              </w:rPr>
              <w:t>Recommendation CM/Rec(2007)13 of the Committee of Ministers to member states on gender mainstreaming in education</w:t>
            </w:r>
          </w:p>
          <w:p w14:paraId="01F667F6" w14:textId="77777777" w:rsidR="00152A46" w:rsidRDefault="00152A46" w:rsidP="00031885">
            <w:pPr>
              <w:spacing w:after="80"/>
              <w:rPr>
                <w:b/>
                <w:sz w:val="20"/>
                <w:szCs w:val="20"/>
                <w:u w:val="single"/>
                <w:shd w:val="clear" w:color="auto" w:fill="EAD1DC"/>
              </w:rPr>
            </w:pPr>
            <w:r>
              <w:rPr>
                <w:b/>
                <w:sz w:val="20"/>
                <w:szCs w:val="20"/>
                <w:shd w:val="clear" w:color="auto" w:fill="EAD1DC"/>
              </w:rPr>
              <w:t>CoE Report: Safe at school: Education sector responses to violence based on sexual orientation, gender identity/expression or sex characteristics in Europe</w:t>
            </w:r>
          </w:p>
          <w:p w14:paraId="64FEFC24" w14:textId="77777777" w:rsidR="00152A46" w:rsidRDefault="00152A46" w:rsidP="00031885">
            <w:pPr>
              <w:spacing w:after="80"/>
              <w:rPr>
                <w:b/>
                <w:sz w:val="20"/>
                <w:szCs w:val="20"/>
                <w:u w:val="single"/>
              </w:rPr>
            </w:pPr>
          </w:p>
          <w:p w14:paraId="251BDEA1" w14:textId="77777777" w:rsidR="00152A46" w:rsidRDefault="00152A46" w:rsidP="00031885">
            <w:pPr>
              <w:spacing w:after="80"/>
              <w:rPr>
                <w:b/>
                <w:sz w:val="20"/>
                <w:szCs w:val="20"/>
                <w:shd w:val="clear" w:color="auto" w:fill="FFE599"/>
              </w:rPr>
            </w:pPr>
          </w:p>
          <w:p w14:paraId="39388009" w14:textId="77777777" w:rsidR="00152A46" w:rsidRDefault="00152A46" w:rsidP="00031885">
            <w:pPr>
              <w:spacing w:after="80"/>
              <w:rPr>
                <w:b/>
                <w:sz w:val="20"/>
                <w:szCs w:val="20"/>
                <w:shd w:val="clear" w:color="auto" w:fill="FFE599"/>
              </w:rPr>
            </w:pPr>
            <w:r>
              <w:rPr>
                <w:b/>
                <w:sz w:val="20"/>
                <w:szCs w:val="20"/>
                <w:shd w:val="clear" w:color="auto" w:fill="FFE599"/>
              </w:rPr>
              <w:t>Recommendation CM/Rec(2010)5</w:t>
            </w:r>
          </w:p>
          <w:p w14:paraId="47949FED" w14:textId="77777777" w:rsidR="00152A46" w:rsidRDefault="00152A46" w:rsidP="00031885">
            <w:pPr>
              <w:spacing w:after="80"/>
              <w:rPr>
                <w:b/>
                <w:sz w:val="20"/>
                <w:szCs w:val="20"/>
                <w:shd w:val="clear" w:color="auto" w:fill="FFE599"/>
              </w:rPr>
            </w:pPr>
          </w:p>
          <w:p w14:paraId="2BC82BF4" w14:textId="77777777" w:rsidR="00152A46" w:rsidRDefault="00152A46" w:rsidP="00031885">
            <w:pPr>
              <w:spacing w:after="80"/>
              <w:rPr>
                <w:b/>
                <w:sz w:val="20"/>
                <w:szCs w:val="20"/>
                <w:highlight w:val="cyan"/>
              </w:rPr>
            </w:pPr>
            <w:r>
              <w:rPr>
                <w:b/>
                <w:sz w:val="20"/>
                <w:szCs w:val="20"/>
                <w:highlight w:val="cyan"/>
              </w:rPr>
              <w:t>THE FOUR PILLARS</w:t>
            </w:r>
            <w:r>
              <w:rPr>
                <w:b/>
                <w:sz w:val="20"/>
                <w:szCs w:val="20"/>
                <w:highlight w:val="cyan"/>
                <w:lang w:val="en-GB"/>
              </w:rPr>
              <w:t xml:space="preserve"> </w:t>
            </w:r>
            <w:r>
              <w:rPr>
                <w:b/>
                <w:sz w:val="20"/>
                <w:szCs w:val="20"/>
                <w:highlight w:val="cyan"/>
              </w:rPr>
              <w:t>OF THE ISTANBUL CONVENTION</w:t>
            </w:r>
          </w:p>
          <w:p w14:paraId="394AF5D9" w14:textId="77777777" w:rsidR="00152A46" w:rsidRDefault="00152A46" w:rsidP="00031885">
            <w:pPr>
              <w:spacing w:after="80"/>
              <w:rPr>
                <w:b/>
                <w:sz w:val="20"/>
                <w:szCs w:val="20"/>
                <w:shd w:val="clear" w:color="auto" w:fill="FFE599"/>
              </w:rPr>
            </w:pPr>
          </w:p>
        </w:tc>
        <w:tc>
          <w:tcPr>
            <w:tcW w:w="2268" w:type="dxa"/>
          </w:tcPr>
          <w:p w14:paraId="0BC6673E" w14:textId="77777777" w:rsidR="00152A46" w:rsidRDefault="00152A46" w:rsidP="00031885">
            <w:pPr>
              <w:spacing w:after="80"/>
            </w:pPr>
            <w:r>
              <w:lastRenderedPageBreak/>
              <w:t>Противници:</w:t>
            </w:r>
          </w:p>
          <w:p w14:paraId="55736E18" w14:textId="77777777" w:rsidR="00152A46" w:rsidRDefault="00152A46" w:rsidP="00031885">
            <w:pPr>
              <w:spacing w:after="80"/>
            </w:pPr>
            <w:r>
              <w:t>ВМРО ДПМНЕ, АА, Левица, иницијатива „Учебници и настава мора да има“, анти-родово движење</w:t>
            </w:r>
          </w:p>
          <w:p w14:paraId="48536DE1" w14:textId="77777777" w:rsidR="00152A46" w:rsidRDefault="00152A46" w:rsidP="00031885">
            <w:pPr>
              <w:spacing w:after="80"/>
            </w:pPr>
            <w:r>
              <w:t>Аргументи:</w:t>
            </w:r>
          </w:p>
          <w:p w14:paraId="43AB1E70" w14:textId="77777777" w:rsidR="00152A46" w:rsidRDefault="00152A46" w:rsidP="00031885">
            <w:pPr>
              <w:spacing w:after="80"/>
            </w:pPr>
            <w:r>
              <w:lastRenderedPageBreak/>
              <w:t>-Дигитални учебници се погубни за децата кои и онака поминуваат многу време пред екрани;</w:t>
            </w:r>
          </w:p>
          <w:p w14:paraId="16BB9664" w14:textId="77777777" w:rsidR="00152A46" w:rsidRDefault="00152A46" w:rsidP="00031885">
            <w:pPr>
              <w:spacing w:after="80"/>
            </w:pPr>
            <w:r>
              <w:t>-Многу деца немаат пари за таблети;</w:t>
            </w:r>
          </w:p>
          <w:p w14:paraId="35853CCA" w14:textId="77777777" w:rsidR="00152A46" w:rsidRDefault="00152A46" w:rsidP="00031885">
            <w:pPr>
              <w:spacing w:after="80"/>
            </w:pPr>
            <w:r>
              <w:t xml:space="preserve">-Ревизијата на учебнците се прави со цел промовирање на ЛГБТИ заедницата и нејзините практики; </w:t>
            </w:r>
          </w:p>
          <w:p w14:paraId="5379EFA4" w14:textId="77777777" w:rsidR="00152A46" w:rsidRDefault="00152A46" w:rsidP="00031885">
            <w:pPr>
              <w:spacing w:after="80"/>
            </w:pPr>
            <w:r>
              <w:t>- Спорните содржини се дискриминаторски единствено за ЛГБТИ заедницата;</w:t>
            </w:r>
          </w:p>
          <w:p w14:paraId="07EB53C1" w14:textId="77777777" w:rsidR="00152A46" w:rsidRDefault="00152A46" w:rsidP="00031885">
            <w:r>
              <w:t>-Новите дигитални учебници се лесни и брзо за измена и ќе овозможат внесување на содржини кои промовираат трансродовост за скоро време</w:t>
            </w:r>
          </w:p>
        </w:tc>
        <w:tc>
          <w:tcPr>
            <w:tcW w:w="2210" w:type="dxa"/>
          </w:tcPr>
          <w:p w14:paraId="69F8B92D" w14:textId="77777777" w:rsidR="00152A46" w:rsidRDefault="00152A46" w:rsidP="00031885">
            <w:pPr>
              <w:spacing w:after="80"/>
            </w:pPr>
            <w:r>
              <w:lastRenderedPageBreak/>
              <w:t>МОН, БРО, Граѓанско општество (дел),</w:t>
            </w:r>
          </w:p>
          <w:p w14:paraId="05E4D7AE" w14:textId="77777777" w:rsidR="00152A46" w:rsidRDefault="00152A46" w:rsidP="00031885">
            <w:r>
              <w:t>UN Women (засега се тивки)</w:t>
            </w:r>
          </w:p>
        </w:tc>
      </w:tr>
    </w:tbl>
    <w:p w14:paraId="37480041" w14:textId="77777777" w:rsidR="00152A46" w:rsidRDefault="00152A46" w:rsidP="00152A46"/>
    <w:p w14:paraId="603E99EC" w14:textId="77777777" w:rsidR="00152A46" w:rsidRDefault="00152A46" w:rsidP="00152A46">
      <w:r>
        <w:br w:type="page"/>
      </w:r>
    </w:p>
    <w:p w14:paraId="5CA3EA8B" w14:textId="77777777" w:rsidR="00152A46" w:rsidRDefault="00152A46" w:rsidP="00152A46"/>
    <w:p w14:paraId="1769C159" w14:textId="77777777" w:rsidR="00152A46" w:rsidRDefault="00152A46" w:rsidP="00152A46">
      <w:pPr>
        <w:pStyle w:val="Heading2"/>
        <w:spacing w:before="40" w:after="0"/>
        <w:ind w:left="360"/>
      </w:pPr>
      <w:bookmarkStart w:id="9" w:name="_Toc88737883"/>
      <w:r>
        <w:t>Застапеност на принципите на родова еднаквост и недискриминација во наставните програми</w:t>
      </w:r>
      <w:bookmarkEnd w:id="9"/>
    </w:p>
    <w:p w14:paraId="4F2B278E" w14:textId="77777777" w:rsidR="00152A46" w:rsidRDefault="00152A46" w:rsidP="00152A46"/>
    <w:tbl>
      <w:tblPr>
        <w:tblStyle w:val="TableGrid"/>
        <w:tblW w:w="0" w:type="auto"/>
        <w:tblLook w:val="04A0" w:firstRow="1" w:lastRow="0" w:firstColumn="1" w:lastColumn="0" w:noHBand="0" w:noVBand="1"/>
      </w:tblPr>
      <w:tblGrid>
        <w:gridCol w:w="8784"/>
        <w:gridCol w:w="6520"/>
      </w:tblGrid>
      <w:tr w:rsidR="00152A46" w14:paraId="69EED7AB" w14:textId="77777777" w:rsidTr="00031885">
        <w:tc>
          <w:tcPr>
            <w:tcW w:w="8784" w:type="dxa"/>
            <w:shd w:val="clear" w:color="auto" w:fill="BDD6EE" w:themeFill="accent1" w:themeFillTint="66"/>
          </w:tcPr>
          <w:p w14:paraId="45996394" w14:textId="77777777" w:rsidR="00152A46" w:rsidRDefault="00152A46" w:rsidP="00031885">
            <w:pPr>
              <w:spacing w:after="80"/>
              <w:rPr>
                <w:b/>
              </w:rPr>
            </w:pPr>
            <w:r>
              <w:rPr>
                <w:b/>
              </w:rPr>
              <w:t>Сегашна состојба</w:t>
            </w:r>
          </w:p>
        </w:tc>
        <w:tc>
          <w:tcPr>
            <w:tcW w:w="6520" w:type="dxa"/>
            <w:shd w:val="clear" w:color="auto" w:fill="BDD6EE" w:themeFill="accent1" w:themeFillTint="66"/>
          </w:tcPr>
          <w:p w14:paraId="288DFB4F" w14:textId="77777777" w:rsidR="00152A46" w:rsidRDefault="00152A46" w:rsidP="00031885">
            <w:pPr>
              <w:tabs>
                <w:tab w:val="left" w:pos="15"/>
                <w:tab w:val="left" w:pos="624"/>
              </w:tabs>
              <w:spacing w:after="80"/>
              <w:rPr>
                <w:b/>
              </w:rPr>
            </w:pPr>
            <w:r>
              <w:rPr>
                <w:b/>
              </w:rPr>
              <w:t xml:space="preserve">Посакувана состојба (Каква промена сакаме?) </w:t>
            </w:r>
          </w:p>
        </w:tc>
      </w:tr>
      <w:tr w:rsidR="00152A46" w14:paraId="2690FE9F" w14:textId="77777777" w:rsidTr="00031885">
        <w:tc>
          <w:tcPr>
            <w:tcW w:w="8784" w:type="dxa"/>
          </w:tcPr>
          <w:p w14:paraId="0AD4B063" w14:textId="77777777" w:rsidR="00152A46" w:rsidRDefault="00152A46" w:rsidP="00031885">
            <w:pPr>
              <w:spacing w:after="80"/>
            </w:pPr>
            <w:r>
              <w:t>Мониторингот на наставни програми од основно образование на Коалиција Маргини покажа недоволна вклученост на принципите на родова еднаквост, недискриминација, толеранција и промовирање на различностите во наставните програми за основно образование</w:t>
            </w:r>
          </w:p>
        </w:tc>
        <w:tc>
          <w:tcPr>
            <w:tcW w:w="6520" w:type="dxa"/>
          </w:tcPr>
          <w:p w14:paraId="1C7F83B5" w14:textId="77777777" w:rsidR="00152A46" w:rsidRDefault="00152A46" w:rsidP="00152A46">
            <w:pPr>
              <w:numPr>
                <w:ilvl w:val="0"/>
                <w:numId w:val="15"/>
              </w:numPr>
              <w:tabs>
                <w:tab w:val="left" w:pos="161"/>
                <w:tab w:val="left" w:pos="360"/>
              </w:tabs>
              <w:spacing w:after="80"/>
              <w:ind w:left="161" w:hanging="142"/>
            </w:pPr>
            <w:r>
              <w:t>Спроведување на националните стандарди за основно образование во сите одделенија;</w:t>
            </w:r>
          </w:p>
          <w:p w14:paraId="62EC8401" w14:textId="717EE4EA" w:rsidR="00152A46" w:rsidRDefault="007A0B0E" w:rsidP="00152A46">
            <w:pPr>
              <w:numPr>
                <w:ilvl w:val="0"/>
                <w:numId w:val="15"/>
              </w:numPr>
              <w:tabs>
                <w:tab w:val="left" w:pos="161"/>
                <w:tab w:val="left" w:pos="360"/>
              </w:tabs>
              <w:spacing w:after="80"/>
              <w:ind w:left="161" w:hanging="142"/>
            </w:pPr>
            <w:r>
              <w:t xml:space="preserve">Воспоставување </w:t>
            </w:r>
            <w:r w:rsidR="00152A46">
              <w:t>национални стандарди за средно образование кои ја вклучуваат родовата еднаквост и превенцијата и заштитата од родово засн</w:t>
            </w:r>
            <w:r>
              <w:t>ована дисриминација и насилство.</w:t>
            </w:r>
          </w:p>
        </w:tc>
      </w:tr>
    </w:tbl>
    <w:p w14:paraId="2384CE97" w14:textId="77777777" w:rsidR="00152A46" w:rsidRDefault="00152A46" w:rsidP="00152A46"/>
    <w:tbl>
      <w:tblPr>
        <w:tblStyle w:val="TableGrid"/>
        <w:tblW w:w="0" w:type="auto"/>
        <w:tblLook w:val="04A0" w:firstRow="1" w:lastRow="0" w:firstColumn="1" w:lastColumn="0" w:noHBand="0" w:noVBand="1"/>
      </w:tblPr>
      <w:tblGrid>
        <w:gridCol w:w="8784"/>
        <w:gridCol w:w="2126"/>
        <w:gridCol w:w="2268"/>
        <w:gridCol w:w="2210"/>
      </w:tblGrid>
      <w:tr w:rsidR="000F73B4" w14:paraId="5EDF3613" w14:textId="77777777" w:rsidTr="00031885">
        <w:trPr>
          <w:tblHeader/>
        </w:trPr>
        <w:tc>
          <w:tcPr>
            <w:tcW w:w="8784" w:type="dxa"/>
            <w:shd w:val="clear" w:color="auto" w:fill="9CC2E5" w:themeFill="accent1" w:themeFillTint="99"/>
          </w:tcPr>
          <w:p w14:paraId="38F62C81" w14:textId="77777777" w:rsidR="00152A46" w:rsidRDefault="00152A46" w:rsidP="00031885">
            <w:pPr>
              <w:spacing w:after="80"/>
              <w:rPr>
                <w:b/>
              </w:rPr>
            </w:pPr>
            <w:r w:rsidRPr="00D5476F">
              <w:rPr>
                <w:b/>
              </w:rPr>
              <w:t xml:space="preserve">Аргументи </w:t>
            </w:r>
          </w:p>
        </w:tc>
        <w:tc>
          <w:tcPr>
            <w:tcW w:w="2126" w:type="dxa"/>
          </w:tcPr>
          <w:p w14:paraId="57162CCD" w14:textId="77777777" w:rsidR="00152A46" w:rsidRDefault="00152A46" w:rsidP="00031885">
            <w:pPr>
              <w:spacing w:after="80"/>
              <w:rPr>
                <w:b/>
              </w:rPr>
            </w:pPr>
            <w:r>
              <w:rPr>
                <w:b/>
              </w:rPr>
              <w:t>Извори за аргументи</w:t>
            </w:r>
          </w:p>
        </w:tc>
        <w:tc>
          <w:tcPr>
            <w:tcW w:w="2268" w:type="dxa"/>
          </w:tcPr>
          <w:p w14:paraId="08C18972" w14:textId="77777777" w:rsidR="00152A46" w:rsidRDefault="00152A46" w:rsidP="00031885">
            <w:pPr>
              <w:spacing w:after="80"/>
              <w:rPr>
                <w:b/>
              </w:rPr>
            </w:pPr>
            <w:r>
              <w:rPr>
                <w:b/>
              </w:rPr>
              <w:t>Противници (контра-аргументи)</w:t>
            </w:r>
          </w:p>
        </w:tc>
        <w:tc>
          <w:tcPr>
            <w:tcW w:w="2210" w:type="dxa"/>
          </w:tcPr>
          <w:p w14:paraId="03C28D25" w14:textId="77777777" w:rsidR="00152A46" w:rsidRDefault="00152A46" w:rsidP="00031885">
            <w:pPr>
              <w:spacing w:after="80"/>
              <w:rPr>
                <w:b/>
              </w:rPr>
            </w:pPr>
            <w:r>
              <w:rPr>
                <w:b/>
              </w:rPr>
              <w:t xml:space="preserve">Сојузници </w:t>
            </w:r>
          </w:p>
        </w:tc>
      </w:tr>
      <w:tr w:rsidR="00152A46" w14:paraId="1A5607A7" w14:textId="77777777" w:rsidTr="00031885">
        <w:tc>
          <w:tcPr>
            <w:tcW w:w="8784" w:type="dxa"/>
          </w:tcPr>
          <w:p w14:paraId="6EB325FB" w14:textId="77777777" w:rsidR="00152A46" w:rsidRPr="005341C0" w:rsidRDefault="00152A46" w:rsidP="00031885">
            <w:pPr>
              <w:spacing w:after="120"/>
              <w:rPr>
                <w:shd w:val="clear" w:color="auto" w:fill="C9DAF8"/>
              </w:rPr>
            </w:pPr>
            <w:r w:rsidRPr="005341C0">
              <w:rPr>
                <w:shd w:val="clear" w:color="auto" w:fill="C9DAF8"/>
              </w:rPr>
              <w:t>-promote and encourage measures aimed specifically at implementing gender mainstreaming at all levels of the education system and in teacher education with a view to achieving de facto gender equality and improve the quality of education</w:t>
            </w:r>
          </w:p>
          <w:p w14:paraId="69C4FF06" w14:textId="77777777" w:rsidR="00152A46" w:rsidRPr="005341C0" w:rsidRDefault="00152A46" w:rsidP="00031885">
            <w:pPr>
              <w:spacing w:after="120"/>
              <w:rPr>
                <w:shd w:val="clear" w:color="auto" w:fill="C9DAF8"/>
              </w:rPr>
            </w:pPr>
            <w:r w:rsidRPr="005341C0">
              <w:rPr>
                <w:shd w:val="clear" w:color="auto" w:fill="C9DAF8"/>
              </w:rPr>
              <w:t>-Effective prevention of violence is key. It involves educating boys and girls from an early age about gender equality and supporting the development of non-violent relationships.</w:t>
            </w:r>
          </w:p>
          <w:p w14:paraId="4578784C" w14:textId="77777777" w:rsidR="00152A46" w:rsidRPr="005341C0" w:rsidRDefault="00152A46" w:rsidP="00031885">
            <w:pPr>
              <w:spacing w:after="120"/>
              <w:rPr>
                <w:shd w:val="clear" w:color="auto" w:fill="C9DAF8"/>
              </w:rPr>
            </w:pPr>
            <w:r w:rsidRPr="005341C0">
              <w:rPr>
                <w:shd w:val="clear" w:color="auto" w:fill="C9DAF8"/>
              </w:rPr>
              <w:t>-including analysis of teaching methods and practices from a gender perspective in guidelines for self-evaluation and quality assurance in schools;</w:t>
            </w:r>
          </w:p>
          <w:p w14:paraId="39ABE3C3" w14:textId="77777777" w:rsidR="00152A46" w:rsidRPr="005341C0" w:rsidRDefault="00152A46" w:rsidP="00031885">
            <w:pPr>
              <w:spacing w:after="120" w:line="276" w:lineRule="auto"/>
              <w:jc w:val="both"/>
              <w:rPr>
                <w:shd w:val="clear" w:color="auto" w:fill="C9DAF8"/>
              </w:rPr>
            </w:pPr>
            <w:r w:rsidRPr="005341C0">
              <w:rPr>
                <w:shd w:val="clear" w:color="auto" w:fill="C9DAF8"/>
              </w:rPr>
              <w:t>-encouraging girls and boys to explore new roles, activities and areas, and ensuring that they have equal access to all parts of the curriculum and to the same learning experiences;</w:t>
            </w:r>
          </w:p>
          <w:p w14:paraId="124D75C0" w14:textId="77777777" w:rsidR="00152A46" w:rsidRPr="005341C0" w:rsidRDefault="00152A46" w:rsidP="00031885">
            <w:pPr>
              <w:spacing w:after="120" w:line="276" w:lineRule="auto"/>
              <w:jc w:val="both"/>
              <w:rPr>
                <w:shd w:val="clear" w:color="auto" w:fill="C9DAF8"/>
              </w:rPr>
            </w:pPr>
            <w:r w:rsidRPr="005341C0">
              <w:rPr>
                <w:shd w:val="clear" w:color="auto" w:fill="C9DAF8"/>
              </w:rPr>
              <w:t>-ensuring that non-sexist language is used, and account taken of the gender dimension in teaching practice and throughout schools;</w:t>
            </w:r>
          </w:p>
          <w:p w14:paraId="40AB0C49" w14:textId="77777777" w:rsidR="00152A46" w:rsidRDefault="00152A46" w:rsidP="00031885">
            <w:pPr>
              <w:spacing w:after="120" w:line="276" w:lineRule="auto"/>
              <w:jc w:val="both"/>
              <w:rPr>
                <w:shd w:val="clear" w:color="auto" w:fill="C9DAF8"/>
              </w:rPr>
            </w:pPr>
            <w:r w:rsidRPr="005341C0">
              <w:rPr>
                <w:shd w:val="clear" w:color="auto" w:fill="C9DAF8"/>
              </w:rPr>
              <w:t>-making gender equality a central part of education for democratic citizenship and human rights, and including that and other issues which are vital to democracy</w:t>
            </w:r>
          </w:p>
          <w:p w14:paraId="7D031592" w14:textId="77777777" w:rsidR="00152A46" w:rsidRDefault="00152A46" w:rsidP="00031885">
            <w:pPr>
              <w:spacing w:after="120" w:line="276" w:lineRule="auto"/>
              <w:jc w:val="both"/>
              <w:rPr>
                <w:shd w:val="clear" w:color="auto" w:fill="C9DAF8"/>
              </w:rPr>
            </w:pPr>
            <w:r w:rsidRPr="005341C0">
              <w:rPr>
                <w:shd w:val="clear" w:color="auto" w:fill="C9DAF8"/>
              </w:rPr>
              <w:t>-creating school learning contexts which focus on the needs and interests of both girls and boys</w:t>
            </w:r>
          </w:p>
          <w:p w14:paraId="7A5F860F" w14:textId="77777777" w:rsidR="00152A46" w:rsidRDefault="00152A46" w:rsidP="00031885">
            <w:pPr>
              <w:spacing w:after="120" w:line="276" w:lineRule="auto"/>
              <w:jc w:val="both"/>
            </w:pPr>
            <w:r w:rsidRPr="005341C0">
              <w:rPr>
                <w:highlight w:val="yellow"/>
              </w:rPr>
              <w:t xml:space="preserve">-Gender stereotypes are a root cause of gender inequality and affect all areas of society. Stereotypical expectations based on fixed norms for women and men, girls and boys, limit their aspirations, choices and freedom, and therefore need to be dismantled. Gender stereotypes </w:t>
            </w:r>
            <w:r w:rsidRPr="005341C0">
              <w:rPr>
                <w:highlight w:val="yellow"/>
              </w:rPr>
              <w:lastRenderedPageBreak/>
              <w:t>strongly contribute to the gender pay gap.</w:t>
            </w:r>
          </w:p>
          <w:p w14:paraId="3DA6EFC0" w14:textId="77777777" w:rsidR="00152A46" w:rsidRPr="005341C0" w:rsidRDefault="00152A46" w:rsidP="00031885">
            <w:pPr>
              <w:spacing w:after="120" w:line="276" w:lineRule="auto"/>
              <w:jc w:val="both"/>
              <w:rPr>
                <w:shd w:val="clear" w:color="auto" w:fill="B6D7A8"/>
              </w:rPr>
            </w:pPr>
            <w:r w:rsidRPr="005341C0">
              <w:rPr>
                <w:shd w:val="clear" w:color="auto" w:fill="B6D7A8"/>
              </w:rPr>
              <w:t xml:space="preserve"> -creating supportive learning environments for groups at risk of underachievement and for supporting wellbeing at school, will address gender stereotypes in education, bullying and sexual harassment </w:t>
            </w:r>
          </w:p>
          <w:p w14:paraId="48486DCB" w14:textId="77777777" w:rsidR="00152A46" w:rsidRPr="005341C0" w:rsidRDefault="00152A46" w:rsidP="00031885">
            <w:pPr>
              <w:spacing w:after="120"/>
              <w:rPr>
                <w:highlight w:val="magenta"/>
              </w:rPr>
            </w:pPr>
            <w:r w:rsidRPr="005341C0">
              <w:rPr>
                <w:highlight w:val="magenta"/>
              </w:rPr>
              <w:t>-Curb inequalities by promoting non-discriminatory access to social services, including quality and affordable healthcare and education (also online), and build practitioners’ capacity to respond to the specific needs of women, men, LGBTI persons, children, persons with disabilities, migrants, refugees and people in vulnerable situations.</w:t>
            </w:r>
          </w:p>
          <w:p w14:paraId="1DA8E4CE" w14:textId="77777777" w:rsidR="00152A46" w:rsidRDefault="00152A46" w:rsidP="00031885">
            <w:pPr>
              <w:spacing w:after="120"/>
            </w:pPr>
            <w:r w:rsidRPr="005341C0">
              <w:rPr>
                <w:highlight w:val="cyan"/>
              </w:rPr>
              <w:t>-Introduce programmes and activities for the empowerment of women, and address the specific needs of people in vulnerable situations from a human rights standpoint</w:t>
            </w:r>
          </w:p>
          <w:p w14:paraId="735E876D" w14:textId="77777777" w:rsidR="00152A46" w:rsidRPr="005341C0" w:rsidRDefault="00152A46" w:rsidP="00031885">
            <w:pPr>
              <w:spacing w:after="120"/>
              <w:rPr>
                <w:highlight w:val="cyan"/>
              </w:rPr>
            </w:pPr>
            <w:r w:rsidRPr="005341C0">
              <w:rPr>
                <w:shd w:val="clear" w:color="auto" w:fill="E69138"/>
              </w:rPr>
              <w:t>-Violence against women is widely accepted as normal and is underreported. Тhe CEDAW Committee recommended the adoption of a comprehensive strategy to eliminate gender stereotypes and harmful practices against women. This strategy needs to address educational materials and engage the educational system, parents and civil society.</w:t>
            </w:r>
          </w:p>
        </w:tc>
        <w:tc>
          <w:tcPr>
            <w:tcW w:w="2126" w:type="dxa"/>
          </w:tcPr>
          <w:p w14:paraId="0C7E6393" w14:textId="77777777" w:rsidR="00152A46" w:rsidRDefault="00152A46" w:rsidP="00031885">
            <w:pPr>
              <w:spacing w:after="80"/>
              <w:rPr>
                <w:b/>
                <w:sz w:val="20"/>
                <w:szCs w:val="20"/>
                <w:highlight w:val="white"/>
                <w:u w:val="single"/>
              </w:rPr>
            </w:pPr>
            <w:r>
              <w:rPr>
                <w:b/>
                <w:sz w:val="20"/>
                <w:szCs w:val="20"/>
                <w:shd w:val="clear" w:color="auto" w:fill="C9DAF8"/>
              </w:rPr>
              <w:lastRenderedPageBreak/>
              <w:t>Recommendation CM/Rec(2007)13 of the Committee of Ministers to member states on gender mainstreaming in education</w:t>
            </w:r>
            <w:r>
              <w:rPr>
                <w:b/>
                <w:sz w:val="20"/>
                <w:szCs w:val="20"/>
                <w:u w:val="single"/>
              </w:rPr>
              <w:t xml:space="preserve"> </w:t>
            </w:r>
          </w:p>
          <w:p w14:paraId="67BEC55B" w14:textId="77777777" w:rsidR="00152A46" w:rsidRDefault="00152A46" w:rsidP="00031885">
            <w:pPr>
              <w:spacing w:after="80"/>
              <w:rPr>
                <w:b/>
                <w:sz w:val="20"/>
                <w:szCs w:val="20"/>
                <w:highlight w:val="yellow"/>
                <w:u w:val="single"/>
              </w:rPr>
            </w:pPr>
          </w:p>
          <w:p w14:paraId="1CA634CA" w14:textId="77777777" w:rsidR="00152A46" w:rsidRDefault="00152A46" w:rsidP="00031885">
            <w:pPr>
              <w:spacing w:after="80"/>
              <w:rPr>
                <w:b/>
                <w:sz w:val="20"/>
                <w:szCs w:val="20"/>
                <w:highlight w:val="yellow"/>
                <w:u w:val="single"/>
              </w:rPr>
            </w:pPr>
          </w:p>
          <w:p w14:paraId="2F43DF1C" w14:textId="77777777" w:rsidR="00152A46" w:rsidRDefault="00152A46" w:rsidP="00031885">
            <w:pPr>
              <w:spacing w:after="80"/>
              <w:rPr>
                <w:b/>
                <w:sz w:val="20"/>
                <w:szCs w:val="20"/>
                <w:highlight w:val="yellow"/>
                <w:u w:val="single"/>
              </w:rPr>
            </w:pPr>
          </w:p>
          <w:p w14:paraId="59D2F1B6" w14:textId="77777777" w:rsidR="00152A46" w:rsidRDefault="00152A46" w:rsidP="00031885">
            <w:pPr>
              <w:spacing w:after="80"/>
              <w:rPr>
                <w:b/>
                <w:sz w:val="20"/>
                <w:szCs w:val="20"/>
                <w:highlight w:val="yellow"/>
                <w:u w:val="single"/>
              </w:rPr>
            </w:pPr>
          </w:p>
          <w:p w14:paraId="0C8FCA55" w14:textId="77777777" w:rsidR="00152A46" w:rsidRDefault="00152A46" w:rsidP="00031885">
            <w:pPr>
              <w:spacing w:after="80"/>
              <w:rPr>
                <w:b/>
                <w:sz w:val="20"/>
                <w:szCs w:val="20"/>
                <w:highlight w:val="yellow"/>
                <w:u w:val="single"/>
              </w:rPr>
            </w:pPr>
          </w:p>
          <w:p w14:paraId="0351D1FC" w14:textId="77777777" w:rsidR="00152A46" w:rsidRDefault="00152A46" w:rsidP="00031885">
            <w:pPr>
              <w:spacing w:after="80"/>
              <w:rPr>
                <w:b/>
                <w:sz w:val="20"/>
                <w:szCs w:val="20"/>
                <w:highlight w:val="yellow"/>
                <w:u w:val="single"/>
              </w:rPr>
            </w:pPr>
          </w:p>
          <w:p w14:paraId="74F15F60" w14:textId="77777777" w:rsidR="00152A46" w:rsidRDefault="00152A46" w:rsidP="00031885">
            <w:pPr>
              <w:spacing w:after="80"/>
              <w:rPr>
                <w:b/>
                <w:sz w:val="20"/>
                <w:szCs w:val="20"/>
                <w:highlight w:val="yellow"/>
                <w:u w:val="single"/>
              </w:rPr>
            </w:pPr>
          </w:p>
          <w:p w14:paraId="6AE4D3DF" w14:textId="77777777" w:rsidR="00152A46" w:rsidRDefault="00152A46" w:rsidP="00031885">
            <w:pPr>
              <w:spacing w:after="80"/>
              <w:rPr>
                <w:b/>
                <w:sz w:val="20"/>
                <w:szCs w:val="20"/>
                <w:highlight w:val="yellow"/>
                <w:u w:val="single"/>
              </w:rPr>
            </w:pPr>
          </w:p>
          <w:p w14:paraId="67A0F571" w14:textId="77777777" w:rsidR="00152A46" w:rsidRDefault="00152A46" w:rsidP="00031885">
            <w:pPr>
              <w:spacing w:after="80"/>
              <w:rPr>
                <w:b/>
                <w:sz w:val="20"/>
                <w:szCs w:val="20"/>
                <w:highlight w:val="yellow"/>
                <w:u w:val="single"/>
              </w:rPr>
            </w:pPr>
          </w:p>
          <w:p w14:paraId="24F4CB64" w14:textId="77777777" w:rsidR="00152A46" w:rsidRDefault="00152A46" w:rsidP="00031885">
            <w:pPr>
              <w:spacing w:after="80"/>
              <w:rPr>
                <w:b/>
                <w:sz w:val="20"/>
                <w:szCs w:val="20"/>
                <w:highlight w:val="yellow"/>
                <w:u w:val="single"/>
              </w:rPr>
            </w:pPr>
          </w:p>
          <w:p w14:paraId="5E2B7EE9" w14:textId="77777777" w:rsidR="00152A46" w:rsidRDefault="00152A46" w:rsidP="00031885">
            <w:pPr>
              <w:spacing w:after="80"/>
              <w:rPr>
                <w:b/>
                <w:sz w:val="20"/>
                <w:szCs w:val="20"/>
                <w:highlight w:val="yellow"/>
                <w:u w:val="single"/>
              </w:rPr>
            </w:pPr>
            <w:r>
              <w:rPr>
                <w:b/>
                <w:sz w:val="20"/>
                <w:szCs w:val="20"/>
                <w:highlight w:val="yellow"/>
                <w:u w:val="single"/>
              </w:rPr>
              <w:t>EU Strategy for Gender Equality</w:t>
            </w:r>
          </w:p>
          <w:p w14:paraId="45B0AAB4" w14:textId="77777777" w:rsidR="00152A46" w:rsidRDefault="00152A46" w:rsidP="00031885">
            <w:pPr>
              <w:spacing w:after="80"/>
              <w:rPr>
                <w:b/>
                <w:sz w:val="20"/>
                <w:szCs w:val="20"/>
                <w:highlight w:val="yellow"/>
                <w:u w:val="single"/>
              </w:rPr>
            </w:pPr>
          </w:p>
          <w:p w14:paraId="5C78B138" w14:textId="3B1D517E" w:rsidR="00152A46" w:rsidRDefault="00152A46" w:rsidP="00031885">
            <w:pPr>
              <w:spacing w:after="80"/>
              <w:rPr>
                <w:b/>
                <w:sz w:val="20"/>
                <w:szCs w:val="20"/>
                <w:u w:val="single"/>
                <w:shd w:val="clear" w:color="auto" w:fill="B6D7A8"/>
              </w:rPr>
            </w:pPr>
          </w:p>
          <w:p w14:paraId="1D338737" w14:textId="77777777" w:rsidR="00152A46" w:rsidRDefault="00152A46" w:rsidP="00031885">
            <w:pPr>
              <w:spacing w:after="80"/>
              <w:rPr>
                <w:b/>
                <w:sz w:val="20"/>
                <w:szCs w:val="20"/>
                <w:u w:val="single"/>
                <w:shd w:val="clear" w:color="auto" w:fill="B6D7A8"/>
              </w:rPr>
            </w:pPr>
          </w:p>
          <w:p w14:paraId="5CD70299" w14:textId="0663EB4F" w:rsidR="00152A46" w:rsidRPr="007A0B0E" w:rsidRDefault="00152A46" w:rsidP="00031885">
            <w:pPr>
              <w:spacing w:after="80"/>
              <w:rPr>
                <w:b/>
                <w:sz w:val="20"/>
                <w:szCs w:val="20"/>
                <w:u w:val="single"/>
                <w:shd w:val="clear" w:color="auto" w:fill="B6D7A8"/>
                <w:lang w:val="en-GB"/>
              </w:rPr>
            </w:pPr>
            <w:r>
              <w:rPr>
                <w:b/>
                <w:sz w:val="20"/>
                <w:szCs w:val="20"/>
                <w:u w:val="single"/>
                <w:shd w:val="clear" w:color="auto" w:fill="B6D7A8"/>
              </w:rPr>
              <w:t>EU Strategy for LGBTI</w:t>
            </w:r>
            <w:r w:rsidR="007A0B0E">
              <w:rPr>
                <w:b/>
                <w:sz w:val="20"/>
                <w:szCs w:val="20"/>
                <w:u w:val="single"/>
                <w:shd w:val="clear" w:color="auto" w:fill="B6D7A8"/>
                <w:lang w:val="en-GB"/>
              </w:rPr>
              <w:t>Q</w:t>
            </w:r>
          </w:p>
          <w:p w14:paraId="3F8B9B92" w14:textId="77777777" w:rsidR="00152A46" w:rsidRDefault="00152A46" w:rsidP="00031885">
            <w:pPr>
              <w:spacing w:after="80"/>
              <w:rPr>
                <w:b/>
                <w:sz w:val="20"/>
                <w:szCs w:val="20"/>
                <w:u w:val="single"/>
                <w:shd w:val="clear" w:color="auto" w:fill="B6D7A8"/>
              </w:rPr>
            </w:pPr>
          </w:p>
          <w:p w14:paraId="69DC10C5" w14:textId="77777777" w:rsidR="00152A46" w:rsidRDefault="00152A46" w:rsidP="00031885">
            <w:pPr>
              <w:spacing w:after="80"/>
              <w:rPr>
                <w:b/>
                <w:sz w:val="20"/>
                <w:szCs w:val="20"/>
                <w:highlight w:val="magenta"/>
                <w:u w:val="single"/>
              </w:rPr>
            </w:pPr>
          </w:p>
          <w:p w14:paraId="3A7C4283" w14:textId="0665F61B" w:rsidR="00152A46" w:rsidRDefault="00A33C16" w:rsidP="00031885">
            <w:pPr>
              <w:spacing w:after="80"/>
              <w:rPr>
                <w:b/>
                <w:sz w:val="20"/>
                <w:szCs w:val="20"/>
                <w:highlight w:val="magenta"/>
                <w:u w:val="single"/>
              </w:rPr>
            </w:pPr>
            <w:r>
              <w:rPr>
                <w:b/>
                <w:sz w:val="20"/>
                <w:szCs w:val="20"/>
                <w:highlight w:val="magenta"/>
                <w:u w:val="single"/>
                <w:lang w:val="en-GB"/>
              </w:rPr>
              <w:t xml:space="preserve">EU </w:t>
            </w:r>
            <w:r w:rsidR="00152A46">
              <w:rPr>
                <w:b/>
                <w:sz w:val="20"/>
                <w:szCs w:val="20"/>
                <w:highlight w:val="magenta"/>
                <w:u w:val="single"/>
              </w:rPr>
              <w:t>Action Plan for Human Rights and Democracy</w:t>
            </w:r>
          </w:p>
          <w:p w14:paraId="4C107979" w14:textId="77777777" w:rsidR="00152A46" w:rsidRDefault="00152A46" w:rsidP="00031885">
            <w:pPr>
              <w:spacing w:after="80"/>
              <w:rPr>
                <w:b/>
                <w:sz w:val="20"/>
                <w:szCs w:val="20"/>
                <w:highlight w:val="cyan"/>
              </w:rPr>
            </w:pPr>
          </w:p>
          <w:p w14:paraId="2F1107A7" w14:textId="77777777" w:rsidR="00152A46" w:rsidRDefault="00152A46" w:rsidP="00031885">
            <w:pPr>
              <w:spacing w:after="80"/>
              <w:rPr>
                <w:b/>
                <w:sz w:val="20"/>
                <w:szCs w:val="20"/>
                <w:highlight w:val="cyan"/>
              </w:rPr>
            </w:pPr>
            <w:r>
              <w:rPr>
                <w:b/>
                <w:sz w:val="20"/>
                <w:szCs w:val="20"/>
                <w:highlight w:val="cyan"/>
              </w:rPr>
              <w:t>THE FOUR PILLARS OF THE ISTANBUL CONVENTION</w:t>
            </w:r>
          </w:p>
          <w:p w14:paraId="3B5F4C56" w14:textId="77777777" w:rsidR="00152A46" w:rsidRDefault="00152A46" w:rsidP="00031885">
            <w:pPr>
              <w:spacing w:after="80"/>
              <w:rPr>
                <w:b/>
                <w:sz w:val="20"/>
                <w:szCs w:val="20"/>
                <w:shd w:val="clear" w:color="auto" w:fill="E69138"/>
              </w:rPr>
            </w:pPr>
            <w:r>
              <w:rPr>
                <w:shd w:val="clear" w:color="auto" w:fill="E69138"/>
              </w:rPr>
              <w:t>OSCE survey report 2019 - North Macedonia</w:t>
            </w:r>
          </w:p>
          <w:p w14:paraId="520061B2" w14:textId="77777777" w:rsidR="00152A46" w:rsidRDefault="00152A46" w:rsidP="00031885">
            <w:pPr>
              <w:spacing w:before="240" w:after="240"/>
              <w:rPr>
                <w:b/>
                <w:sz w:val="20"/>
                <w:szCs w:val="20"/>
                <w:u w:val="single"/>
              </w:rPr>
            </w:pPr>
            <w:r>
              <w:rPr>
                <w:b/>
                <w:sz w:val="20"/>
                <w:szCs w:val="20"/>
                <w:u w:val="single"/>
              </w:rPr>
              <w:t>EUROPEAN PILLAR OF SOCIAL RIGHTS ACTION PLAN</w:t>
            </w:r>
          </w:p>
          <w:p w14:paraId="73B0DD6D" w14:textId="77777777" w:rsidR="00152A46" w:rsidRDefault="00152A46" w:rsidP="00031885">
            <w:pPr>
              <w:spacing w:after="80"/>
            </w:pPr>
          </w:p>
          <w:p w14:paraId="632B90C9" w14:textId="77777777" w:rsidR="00152A46" w:rsidRDefault="00152A46" w:rsidP="00031885">
            <w:pPr>
              <w:spacing w:after="80"/>
            </w:pPr>
          </w:p>
          <w:p w14:paraId="195E6855" w14:textId="77777777" w:rsidR="00152A46" w:rsidRDefault="00152A46" w:rsidP="00031885">
            <w:pPr>
              <w:spacing w:after="80"/>
            </w:pPr>
          </w:p>
          <w:p w14:paraId="55D53B47" w14:textId="77777777" w:rsidR="00152A46" w:rsidRDefault="00152A46" w:rsidP="00031885">
            <w:pPr>
              <w:spacing w:after="80"/>
            </w:pPr>
          </w:p>
          <w:p w14:paraId="704FE7AF" w14:textId="77777777" w:rsidR="00152A46" w:rsidRDefault="00152A46" w:rsidP="00031885">
            <w:pPr>
              <w:spacing w:after="80"/>
            </w:pPr>
          </w:p>
        </w:tc>
        <w:tc>
          <w:tcPr>
            <w:tcW w:w="2268" w:type="dxa"/>
          </w:tcPr>
          <w:p w14:paraId="44781D0F" w14:textId="77777777" w:rsidR="00152A46" w:rsidRDefault="00152A46" w:rsidP="00031885">
            <w:pPr>
              <w:spacing w:after="80"/>
            </w:pPr>
            <w:r>
              <w:lastRenderedPageBreak/>
              <w:t>Противници:</w:t>
            </w:r>
          </w:p>
          <w:p w14:paraId="4EFFA549" w14:textId="77777777" w:rsidR="00152A46" w:rsidRDefault="00152A46" w:rsidP="00031885">
            <w:pPr>
              <w:spacing w:after="80"/>
            </w:pPr>
            <w:r>
              <w:t>ВМРО ДПМНЕ, АА, Левица, иницијатива „Учебници и настава мора да има“, анти-родово движење</w:t>
            </w:r>
          </w:p>
          <w:p w14:paraId="4074BD62" w14:textId="77777777" w:rsidR="00152A46" w:rsidRDefault="00152A46" w:rsidP="00031885">
            <w:pPr>
              <w:spacing w:after="80"/>
            </w:pPr>
            <w:r>
              <w:t>-Родово сензитивното образование е впишано во наставните програми на сите предмети со цел оние кои не избрале ССО да бидат индоктринирани преку другите предмети</w:t>
            </w:r>
          </w:p>
          <w:p w14:paraId="5992269A" w14:textId="77777777" w:rsidR="00152A46" w:rsidRDefault="00152A46" w:rsidP="00031885">
            <w:pPr>
              <w:spacing w:after="80"/>
            </w:pPr>
            <w:r>
              <w:t xml:space="preserve">-Родово сензитивното образование ја </w:t>
            </w:r>
            <w:r>
              <w:lastRenderedPageBreak/>
              <w:t>промовира родовата иделогија според која на децата им се промовира промената на пол како нормална и посакувана</w:t>
            </w:r>
          </w:p>
          <w:p w14:paraId="56DFBF28" w14:textId="77777777" w:rsidR="00152A46" w:rsidRDefault="00152A46" w:rsidP="00031885">
            <w:pPr>
              <w:spacing w:after="80"/>
            </w:pPr>
            <w:r>
              <w:t>-Родово сензитивното образование ја брише бинарната полова поделба на мажи и жени и внесува флуидни идентитети кои децата на оваа возраст можат лесно да ги прифатат како нормални или свои</w:t>
            </w:r>
          </w:p>
          <w:p w14:paraId="60B539DF" w14:textId="77777777" w:rsidR="00152A46" w:rsidRDefault="00152A46" w:rsidP="00031885">
            <w:pPr>
              <w:spacing w:after="80"/>
            </w:pPr>
            <w:r>
              <w:t>-Образованието има поголеми проблеми отколку овој. Потребно е да се започне со поправање на тоалети, чиста вода и сапуни во училиштата, а не со желбите на ЛГБТИ</w:t>
            </w:r>
          </w:p>
        </w:tc>
        <w:tc>
          <w:tcPr>
            <w:tcW w:w="2210" w:type="dxa"/>
          </w:tcPr>
          <w:p w14:paraId="2379FFC6" w14:textId="77777777" w:rsidR="00152A46" w:rsidRDefault="00152A46" w:rsidP="00031885">
            <w:pPr>
              <w:spacing w:after="80"/>
            </w:pPr>
            <w:r>
              <w:lastRenderedPageBreak/>
              <w:t>МОН, БРО, Граѓанскот општество (дел), UN Women (?)</w:t>
            </w:r>
          </w:p>
        </w:tc>
      </w:tr>
    </w:tbl>
    <w:p w14:paraId="71705866" w14:textId="77777777" w:rsidR="00152A46" w:rsidRDefault="00152A46" w:rsidP="00152A46"/>
    <w:p w14:paraId="7DFC2CE0" w14:textId="77777777" w:rsidR="00152A46" w:rsidRDefault="00152A46" w:rsidP="00152A46"/>
    <w:p w14:paraId="4E5275E6" w14:textId="77777777" w:rsidR="00152A46" w:rsidRDefault="00152A46" w:rsidP="00152A46">
      <w:r>
        <w:br w:type="page"/>
      </w:r>
    </w:p>
    <w:p w14:paraId="1D6F7CE9" w14:textId="77777777" w:rsidR="00152A46" w:rsidRDefault="00152A46" w:rsidP="00152A46">
      <w:pPr>
        <w:pStyle w:val="Heading2"/>
        <w:spacing w:before="40" w:after="0"/>
        <w:ind w:left="360"/>
      </w:pPr>
      <w:bookmarkStart w:id="10" w:name="_Toc88737884"/>
      <w:r>
        <w:lastRenderedPageBreak/>
        <w:t>РБН и булинг во училиштата</w:t>
      </w:r>
      <w:bookmarkEnd w:id="10"/>
      <w:r>
        <w:t xml:space="preserve"> </w:t>
      </w:r>
    </w:p>
    <w:p w14:paraId="5917BF19" w14:textId="77777777" w:rsidR="00152A46" w:rsidRDefault="00152A46" w:rsidP="00152A46"/>
    <w:tbl>
      <w:tblPr>
        <w:tblStyle w:val="TableGrid"/>
        <w:tblW w:w="0" w:type="auto"/>
        <w:tblLook w:val="04A0" w:firstRow="1" w:lastRow="0" w:firstColumn="1" w:lastColumn="0" w:noHBand="0" w:noVBand="1"/>
      </w:tblPr>
      <w:tblGrid>
        <w:gridCol w:w="8784"/>
        <w:gridCol w:w="6520"/>
      </w:tblGrid>
      <w:tr w:rsidR="00152A46" w14:paraId="57907F0E" w14:textId="77777777" w:rsidTr="00031885">
        <w:tc>
          <w:tcPr>
            <w:tcW w:w="8784" w:type="dxa"/>
            <w:shd w:val="clear" w:color="auto" w:fill="BDD6EE" w:themeFill="accent1" w:themeFillTint="66"/>
          </w:tcPr>
          <w:p w14:paraId="7F0B14B8" w14:textId="77777777" w:rsidR="00152A46" w:rsidRDefault="00152A46" w:rsidP="00031885">
            <w:pPr>
              <w:spacing w:after="80"/>
              <w:rPr>
                <w:b/>
              </w:rPr>
            </w:pPr>
            <w:r>
              <w:rPr>
                <w:b/>
              </w:rPr>
              <w:t>Сегашна состојба</w:t>
            </w:r>
          </w:p>
        </w:tc>
        <w:tc>
          <w:tcPr>
            <w:tcW w:w="6520" w:type="dxa"/>
            <w:shd w:val="clear" w:color="auto" w:fill="BDD6EE" w:themeFill="accent1" w:themeFillTint="66"/>
          </w:tcPr>
          <w:p w14:paraId="6726D399" w14:textId="77777777" w:rsidR="00152A46" w:rsidRDefault="00152A46" w:rsidP="00031885">
            <w:pPr>
              <w:tabs>
                <w:tab w:val="left" w:pos="15"/>
                <w:tab w:val="left" w:pos="624"/>
              </w:tabs>
              <w:spacing w:after="80"/>
              <w:rPr>
                <w:b/>
              </w:rPr>
            </w:pPr>
            <w:r>
              <w:rPr>
                <w:b/>
              </w:rPr>
              <w:t xml:space="preserve">Посакувана состојба (Каква промена сакаме?) </w:t>
            </w:r>
          </w:p>
        </w:tc>
      </w:tr>
      <w:tr w:rsidR="00152A46" w14:paraId="413F8438" w14:textId="77777777" w:rsidTr="00031885">
        <w:tc>
          <w:tcPr>
            <w:tcW w:w="8784" w:type="dxa"/>
          </w:tcPr>
          <w:p w14:paraId="5D671A32" w14:textId="77777777" w:rsidR="00152A46" w:rsidRDefault="00152A46" w:rsidP="00031885">
            <w:pPr>
              <w:spacing w:after="80"/>
            </w:pPr>
            <w:r>
              <w:t>Висока преваленца на РБН и булинг во училиштата (HBSCM студија)</w:t>
            </w:r>
          </w:p>
        </w:tc>
        <w:tc>
          <w:tcPr>
            <w:tcW w:w="6520" w:type="dxa"/>
          </w:tcPr>
          <w:p w14:paraId="5764CF66" w14:textId="77777777" w:rsidR="00152A46" w:rsidRDefault="00152A46" w:rsidP="00152A46">
            <w:pPr>
              <w:numPr>
                <w:ilvl w:val="0"/>
                <w:numId w:val="15"/>
              </w:numPr>
              <w:tabs>
                <w:tab w:val="left" w:pos="161"/>
                <w:tab w:val="left" w:pos="360"/>
              </w:tabs>
              <w:spacing w:after="80"/>
              <w:ind w:left="161" w:hanging="142"/>
            </w:pPr>
            <w:r>
              <w:t>Спроведување на Упатството во</w:t>
            </w:r>
            <w:bookmarkStart w:id="11" w:name="_GoBack"/>
            <w:bookmarkEnd w:id="11"/>
            <w:r>
              <w:t xml:space="preserve"> основните училишта;</w:t>
            </w:r>
          </w:p>
          <w:p w14:paraId="517550B9" w14:textId="2E8E3777" w:rsidR="00152A46" w:rsidRDefault="00152A46" w:rsidP="00152A46">
            <w:pPr>
              <w:numPr>
                <w:ilvl w:val="0"/>
                <w:numId w:val="15"/>
              </w:numPr>
              <w:tabs>
                <w:tab w:val="left" w:pos="161"/>
                <w:tab w:val="left" w:pos="360"/>
              </w:tabs>
              <w:spacing w:after="80"/>
              <w:ind w:left="161" w:hanging="142"/>
            </w:pPr>
            <w:r>
              <w:t>Воспоставување механиз</w:t>
            </w:r>
            <w:r w:rsidR="00F74F0A">
              <w:t>ам за превенција и заштита од РБ</w:t>
            </w:r>
            <w:r>
              <w:t>Н во средните училишта;</w:t>
            </w:r>
          </w:p>
          <w:p w14:paraId="1CA6ACCA" w14:textId="5AE09CD4" w:rsidR="00152A46" w:rsidRDefault="00152A46" w:rsidP="00152A46">
            <w:pPr>
              <w:numPr>
                <w:ilvl w:val="0"/>
                <w:numId w:val="15"/>
              </w:numPr>
              <w:tabs>
                <w:tab w:val="left" w:pos="161"/>
                <w:tab w:val="left" w:pos="360"/>
              </w:tabs>
              <w:spacing w:after="80"/>
              <w:ind w:left="161" w:hanging="142"/>
            </w:pPr>
            <w:r>
              <w:t>Систематизирано прибирање на податоци за РБН во училиштата на национално ниво</w:t>
            </w:r>
            <w:r w:rsidR="00F74F0A">
              <w:t>.</w:t>
            </w:r>
          </w:p>
        </w:tc>
      </w:tr>
    </w:tbl>
    <w:p w14:paraId="3CC03315" w14:textId="77777777" w:rsidR="00152A46" w:rsidRDefault="00152A46" w:rsidP="00152A46"/>
    <w:tbl>
      <w:tblPr>
        <w:tblStyle w:val="TableGrid"/>
        <w:tblW w:w="0" w:type="auto"/>
        <w:tblLook w:val="04A0" w:firstRow="1" w:lastRow="0" w:firstColumn="1" w:lastColumn="0" w:noHBand="0" w:noVBand="1"/>
      </w:tblPr>
      <w:tblGrid>
        <w:gridCol w:w="8784"/>
        <w:gridCol w:w="2126"/>
        <w:gridCol w:w="2268"/>
        <w:gridCol w:w="2210"/>
      </w:tblGrid>
      <w:tr w:rsidR="000F73B4" w14:paraId="7F12BB42" w14:textId="77777777" w:rsidTr="00031885">
        <w:trPr>
          <w:tblHeader/>
        </w:trPr>
        <w:tc>
          <w:tcPr>
            <w:tcW w:w="8784" w:type="dxa"/>
            <w:shd w:val="clear" w:color="auto" w:fill="9CC2E5" w:themeFill="accent1" w:themeFillTint="99"/>
          </w:tcPr>
          <w:p w14:paraId="34748532" w14:textId="77777777" w:rsidR="00152A46" w:rsidRDefault="00152A46" w:rsidP="00031885">
            <w:pPr>
              <w:spacing w:after="80"/>
              <w:rPr>
                <w:b/>
              </w:rPr>
            </w:pPr>
            <w:r w:rsidRPr="00D5476F">
              <w:rPr>
                <w:b/>
              </w:rPr>
              <w:t xml:space="preserve">Аргументи </w:t>
            </w:r>
          </w:p>
        </w:tc>
        <w:tc>
          <w:tcPr>
            <w:tcW w:w="2126" w:type="dxa"/>
          </w:tcPr>
          <w:p w14:paraId="75269D76" w14:textId="77777777" w:rsidR="00152A46" w:rsidRDefault="00152A46" w:rsidP="00031885">
            <w:pPr>
              <w:spacing w:after="80"/>
              <w:rPr>
                <w:b/>
              </w:rPr>
            </w:pPr>
            <w:r>
              <w:rPr>
                <w:b/>
              </w:rPr>
              <w:t>Извори за аргументи</w:t>
            </w:r>
          </w:p>
        </w:tc>
        <w:tc>
          <w:tcPr>
            <w:tcW w:w="2268" w:type="dxa"/>
          </w:tcPr>
          <w:p w14:paraId="6573B0F3" w14:textId="77777777" w:rsidR="00152A46" w:rsidRDefault="00152A46" w:rsidP="00031885">
            <w:pPr>
              <w:spacing w:after="80"/>
              <w:rPr>
                <w:b/>
              </w:rPr>
            </w:pPr>
            <w:r>
              <w:rPr>
                <w:b/>
              </w:rPr>
              <w:t>Противници (контра-аргументи)</w:t>
            </w:r>
          </w:p>
        </w:tc>
        <w:tc>
          <w:tcPr>
            <w:tcW w:w="2210" w:type="dxa"/>
          </w:tcPr>
          <w:p w14:paraId="22584880" w14:textId="77777777" w:rsidR="00152A46" w:rsidRDefault="00152A46" w:rsidP="00031885">
            <w:pPr>
              <w:spacing w:after="80"/>
              <w:rPr>
                <w:b/>
              </w:rPr>
            </w:pPr>
            <w:r>
              <w:rPr>
                <w:b/>
              </w:rPr>
              <w:t xml:space="preserve">Сојузници </w:t>
            </w:r>
          </w:p>
        </w:tc>
      </w:tr>
      <w:tr w:rsidR="00152A46" w14:paraId="06B56D4E" w14:textId="77777777" w:rsidTr="00031885">
        <w:tc>
          <w:tcPr>
            <w:tcW w:w="8784" w:type="dxa"/>
          </w:tcPr>
          <w:p w14:paraId="0EC220B1" w14:textId="77777777" w:rsidR="00152A46" w:rsidRPr="0002137C" w:rsidRDefault="00152A46" w:rsidP="00031885">
            <w:pPr>
              <w:spacing w:after="80"/>
            </w:pPr>
            <w:r>
              <w:rPr>
                <w:sz w:val="20"/>
                <w:szCs w:val="20"/>
              </w:rPr>
              <w:t>-</w:t>
            </w:r>
            <w:r>
              <w:rPr>
                <w:lang w:val="en-GB"/>
              </w:rPr>
              <w:t>R</w:t>
            </w:r>
            <w:r w:rsidRPr="0002137C">
              <w:t>equiring schools to devise policies and procedures to deal with gender-based bullying, harassment and violence</w:t>
            </w:r>
          </w:p>
          <w:p w14:paraId="486CE757" w14:textId="77777777" w:rsidR="00152A46" w:rsidRPr="0002137C" w:rsidRDefault="00152A46" w:rsidP="00031885">
            <w:pPr>
              <w:spacing w:after="80"/>
              <w:rPr>
                <w:color w:val="333333"/>
              </w:rPr>
            </w:pPr>
            <w:r w:rsidRPr="0002137C">
              <w:t xml:space="preserve">- </w:t>
            </w:r>
            <w:r w:rsidRPr="0002137C">
              <w:rPr>
                <w:color w:val="333333"/>
              </w:rPr>
              <w:t>Build and upgrade education facilities that are child, disability and gender sensitive and provide safe, non-violent, inclusive and effective learning environments for all</w:t>
            </w:r>
          </w:p>
          <w:p w14:paraId="14F3C18F" w14:textId="77777777" w:rsidR="00152A46" w:rsidRPr="0002137C" w:rsidRDefault="00152A46" w:rsidP="00031885">
            <w:pPr>
              <w:spacing w:after="80"/>
              <w:rPr>
                <w:color w:val="333333"/>
                <w:highlight w:val="white"/>
              </w:rPr>
            </w:pPr>
            <w:r w:rsidRPr="0002137C">
              <w:rPr>
                <w:color w:val="333333"/>
              </w:rPr>
              <w:t>-</w:t>
            </w:r>
            <w:r w:rsidRPr="0002137C">
              <w:rPr>
                <w:color w:val="333333"/>
                <w:highlight w:val="white"/>
              </w:rPr>
              <w:t xml:space="preserve">It is most effective when comprehensive sexuality education is taught over several years by integrating age-appropriate information that accounts for the developing capacities of young people. </w:t>
            </w:r>
          </w:p>
          <w:p w14:paraId="66555354" w14:textId="77777777" w:rsidR="00152A46" w:rsidRPr="0002137C" w:rsidRDefault="00152A46" w:rsidP="00031885">
            <w:pPr>
              <w:spacing w:before="240" w:after="240"/>
              <w:rPr>
                <w:color w:val="333333"/>
              </w:rPr>
            </w:pPr>
            <w:r w:rsidRPr="0002137C">
              <w:rPr>
                <w:color w:val="333333"/>
              </w:rPr>
              <w:t>-Implement educational programmes in schools and preschools on gender stereotypes and healthy relationships, with a focus on gender equality.</w:t>
            </w:r>
          </w:p>
          <w:p w14:paraId="726AA92F" w14:textId="77777777" w:rsidR="00152A46" w:rsidRDefault="00152A46" w:rsidP="00031885">
            <w:pPr>
              <w:spacing w:before="240" w:after="240"/>
              <w:rPr>
                <w:rFonts w:ascii="Arial" w:eastAsia="Arial" w:hAnsi="Arial" w:cs="Arial"/>
                <w:b/>
                <w:color w:val="333333"/>
                <w:sz w:val="24"/>
                <w:szCs w:val="24"/>
              </w:rPr>
            </w:pPr>
            <w:r>
              <w:rPr>
                <w:rFonts w:ascii="Arial" w:eastAsia="Arial" w:hAnsi="Arial" w:cs="Arial"/>
                <w:b/>
                <w:color w:val="333333"/>
                <w:sz w:val="24"/>
                <w:szCs w:val="24"/>
              </w:rPr>
              <w:t xml:space="preserve"> </w:t>
            </w:r>
          </w:p>
          <w:p w14:paraId="00E970F4" w14:textId="77777777" w:rsidR="00152A46" w:rsidRDefault="00152A46" w:rsidP="00031885">
            <w:pPr>
              <w:spacing w:after="80"/>
              <w:rPr>
                <w:rFonts w:ascii="Arial" w:eastAsia="Arial" w:hAnsi="Arial" w:cs="Arial"/>
                <w:color w:val="333333"/>
                <w:sz w:val="21"/>
                <w:szCs w:val="21"/>
              </w:rPr>
            </w:pPr>
          </w:p>
          <w:p w14:paraId="169F044E" w14:textId="77777777" w:rsidR="00152A46" w:rsidRDefault="00152A46" w:rsidP="00031885">
            <w:pPr>
              <w:spacing w:after="80"/>
              <w:rPr>
                <w:sz w:val="24"/>
                <w:szCs w:val="24"/>
              </w:rPr>
            </w:pPr>
          </w:p>
        </w:tc>
        <w:tc>
          <w:tcPr>
            <w:tcW w:w="2126" w:type="dxa"/>
          </w:tcPr>
          <w:p w14:paraId="6D74D8A2" w14:textId="77777777" w:rsidR="00152A46" w:rsidRDefault="00152A46" w:rsidP="00031885">
            <w:pPr>
              <w:spacing w:after="80"/>
              <w:rPr>
                <w:b/>
                <w:sz w:val="20"/>
                <w:szCs w:val="20"/>
                <w:u w:val="single"/>
              </w:rPr>
            </w:pPr>
            <w:r>
              <w:rPr>
                <w:b/>
                <w:sz w:val="20"/>
                <w:szCs w:val="20"/>
                <w:shd w:val="clear" w:color="auto" w:fill="C9DAF8"/>
              </w:rPr>
              <w:t>Recommendation CM/Rec(2007)13 of the Committee of Ministers to member states on gender mainstreaming in education</w:t>
            </w:r>
          </w:p>
          <w:p w14:paraId="36A7C250" w14:textId="77777777" w:rsidR="00152A46" w:rsidRDefault="00152A46" w:rsidP="00031885">
            <w:pPr>
              <w:spacing w:after="80"/>
              <w:rPr>
                <w:b/>
                <w:sz w:val="20"/>
                <w:szCs w:val="20"/>
                <w:u w:val="single"/>
              </w:rPr>
            </w:pPr>
          </w:p>
          <w:p w14:paraId="5CD6583E" w14:textId="77777777" w:rsidR="00152A46" w:rsidRDefault="00152A46" w:rsidP="00031885">
            <w:pPr>
              <w:spacing w:after="80"/>
              <w:rPr>
                <w:b/>
                <w:sz w:val="20"/>
                <w:szCs w:val="20"/>
                <w:u w:val="single"/>
              </w:rPr>
            </w:pPr>
            <w:r>
              <w:rPr>
                <w:b/>
                <w:sz w:val="20"/>
                <w:szCs w:val="20"/>
                <w:u w:val="single"/>
              </w:rPr>
              <w:t>SDG 4 (4a)</w:t>
            </w:r>
          </w:p>
          <w:p w14:paraId="260432EB" w14:textId="77777777" w:rsidR="00152A46" w:rsidRDefault="00152A46" w:rsidP="00031885">
            <w:pPr>
              <w:spacing w:after="80"/>
              <w:rPr>
                <w:sz w:val="20"/>
                <w:szCs w:val="20"/>
              </w:rPr>
            </w:pPr>
          </w:p>
          <w:p w14:paraId="0A222689" w14:textId="77777777" w:rsidR="00152A46" w:rsidRDefault="00152A46" w:rsidP="00031885">
            <w:pPr>
              <w:spacing w:after="80"/>
              <w:rPr>
                <w:b/>
                <w:sz w:val="20"/>
                <w:szCs w:val="20"/>
                <w:u w:val="single"/>
              </w:rPr>
            </w:pPr>
            <w:r>
              <w:rPr>
                <w:b/>
                <w:sz w:val="20"/>
                <w:szCs w:val="20"/>
                <w:u w:val="single"/>
              </w:rPr>
              <w:t>UNFPA</w:t>
            </w:r>
          </w:p>
          <w:p w14:paraId="5B2CFBFB" w14:textId="77777777" w:rsidR="00152A46" w:rsidRDefault="00152A46" w:rsidP="00031885">
            <w:pPr>
              <w:spacing w:after="80"/>
              <w:rPr>
                <w:b/>
                <w:sz w:val="20"/>
                <w:szCs w:val="20"/>
                <w:u w:val="single"/>
              </w:rPr>
            </w:pPr>
          </w:p>
          <w:p w14:paraId="67CBBE72" w14:textId="77777777" w:rsidR="00152A46" w:rsidRDefault="00152A46" w:rsidP="00031885">
            <w:pPr>
              <w:spacing w:after="80"/>
              <w:rPr>
                <w:b/>
                <w:sz w:val="20"/>
                <w:szCs w:val="20"/>
                <w:u w:val="single"/>
              </w:rPr>
            </w:pPr>
            <w:r>
              <w:rPr>
                <w:b/>
                <w:sz w:val="20"/>
                <w:szCs w:val="20"/>
                <w:u w:val="single"/>
              </w:rPr>
              <w:t>OSCE report on violence against women 2019 North Macedonia</w:t>
            </w:r>
          </w:p>
          <w:p w14:paraId="0E561BB2" w14:textId="77777777" w:rsidR="00152A46" w:rsidRDefault="00152A46" w:rsidP="00031885">
            <w:pPr>
              <w:spacing w:after="80"/>
              <w:rPr>
                <w:b/>
                <w:sz w:val="20"/>
                <w:szCs w:val="20"/>
                <w:u w:val="single"/>
              </w:rPr>
            </w:pPr>
          </w:p>
          <w:p w14:paraId="18712DF2" w14:textId="77777777" w:rsidR="00152A46" w:rsidRDefault="00152A46" w:rsidP="00031885">
            <w:pPr>
              <w:spacing w:after="80"/>
              <w:rPr>
                <w:b/>
                <w:sz w:val="20"/>
                <w:szCs w:val="20"/>
                <w:u w:val="single"/>
              </w:rPr>
            </w:pPr>
          </w:p>
        </w:tc>
        <w:tc>
          <w:tcPr>
            <w:tcW w:w="2268" w:type="dxa"/>
          </w:tcPr>
          <w:p w14:paraId="48FC4BD2" w14:textId="77777777" w:rsidR="00152A46" w:rsidRDefault="00152A46" w:rsidP="00031885">
            <w:pPr>
              <w:spacing w:after="80"/>
            </w:pPr>
            <w:r>
              <w:t>Противници:</w:t>
            </w:r>
          </w:p>
          <w:p w14:paraId="11F585E4" w14:textId="77777777" w:rsidR="00152A46" w:rsidRDefault="00152A46" w:rsidP="00031885">
            <w:pPr>
              <w:spacing w:after="80"/>
            </w:pPr>
            <w:r>
              <w:t>Отворени противници нема, освен делумно анти-родовото движење</w:t>
            </w:r>
          </w:p>
          <w:p w14:paraId="131E4410" w14:textId="77777777" w:rsidR="00152A46" w:rsidRDefault="00152A46" w:rsidP="00031885">
            <w:pPr>
              <w:spacing w:after="80"/>
            </w:pPr>
            <w:r>
              <w:t>Затскриени аргументи:</w:t>
            </w:r>
          </w:p>
          <w:p w14:paraId="0B25D130" w14:textId="035BD552" w:rsidR="00152A46" w:rsidRDefault="00152A46" w:rsidP="00031885">
            <w:pPr>
              <w:spacing w:after="80"/>
            </w:pPr>
            <w:r>
              <w:t>-Воведувањето на ССО и РСЕ е отворена врата за насилство врз девојчиња од страна на транс жени (напаѓање во тоалети и сл</w:t>
            </w:r>
            <w:r w:rsidR="00F74F0A">
              <w:t>.</w:t>
            </w:r>
            <w:r>
              <w:t>)</w:t>
            </w:r>
          </w:p>
          <w:p w14:paraId="44D6DAD4" w14:textId="77777777" w:rsidR="00152A46" w:rsidRDefault="00152A46" w:rsidP="00031885">
            <w:pPr>
              <w:spacing w:after="80"/>
            </w:pPr>
            <w:r>
              <w:t>/</w:t>
            </w:r>
          </w:p>
        </w:tc>
        <w:tc>
          <w:tcPr>
            <w:tcW w:w="2210" w:type="dxa"/>
          </w:tcPr>
          <w:p w14:paraId="0195E04B" w14:textId="77777777" w:rsidR="00152A46" w:rsidRDefault="00152A46" w:rsidP="00031885">
            <w:pPr>
              <w:spacing w:after="80"/>
            </w:pPr>
            <w:r>
              <w:t>МОН, БРО, Граѓанскот општество (дел), UN Women (?)</w:t>
            </w:r>
          </w:p>
          <w:p w14:paraId="6DCA5896" w14:textId="77777777" w:rsidR="00152A46" w:rsidRDefault="00152A46" w:rsidP="00031885">
            <w:pPr>
              <w:spacing w:after="80"/>
            </w:pPr>
          </w:p>
        </w:tc>
      </w:tr>
    </w:tbl>
    <w:p w14:paraId="792EFD42" w14:textId="77777777" w:rsidR="00152A46" w:rsidRDefault="00152A46" w:rsidP="00152A46"/>
    <w:p w14:paraId="1AB6C876" w14:textId="77777777" w:rsidR="00152A46" w:rsidRDefault="00152A46" w:rsidP="00152A46"/>
    <w:p w14:paraId="71351787" w14:textId="77777777" w:rsidR="00152A46" w:rsidRDefault="00152A46" w:rsidP="00152A46"/>
    <w:p w14:paraId="1CD48CE2" w14:textId="77777777" w:rsidR="00152A46" w:rsidRDefault="00152A46" w:rsidP="00152A46">
      <w:pPr>
        <w:pStyle w:val="Heading2"/>
        <w:spacing w:before="40" w:after="120"/>
        <w:ind w:left="357" w:hanging="357"/>
      </w:pPr>
      <w:bookmarkStart w:id="12" w:name="_Toc88737885"/>
      <w:r>
        <w:rPr>
          <w:lang w:val="sr-Latn-RS"/>
        </w:rPr>
        <w:lastRenderedPageBreak/>
        <w:t>K</w:t>
      </w:r>
      <w:r>
        <w:t>апацитети за справување со РБН и булинг во училиштата</w:t>
      </w:r>
      <w:bookmarkEnd w:id="12"/>
      <w:r>
        <w:t xml:space="preserve"> </w:t>
      </w:r>
    </w:p>
    <w:p w14:paraId="212D70E0" w14:textId="77777777" w:rsidR="00152A46" w:rsidRDefault="00152A46" w:rsidP="00152A46"/>
    <w:tbl>
      <w:tblPr>
        <w:tblStyle w:val="TableGrid"/>
        <w:tblW w:w="0" w:type="auto"/>
        <w:tblLook w:val="04A0" w:firstRow="1" w:lastRow="0" w:firstColumn="1" w:lastColumn="0" w:noHBand="0" w:noVBand="1"/>
      </w:tblPr>
      <w:tblGrid>
        <w:gridCol w:w="8784"/>
        <w:gridCol w:w="6520"/>
      </w:tblGrid>
      <w:tr w:rsidR="00152A46" w14:paraId="4BC5C869" w14:textId="77777777" w:rsidTr="00031885">
        <w:tc>
          <w:tcPr>
            <w:tcW w:w="8784" w:type="dxa"/>
            <w:shd w:val="clear" w:color="auto" w:fill="BDD6EE" w:themeFill="accent1" w:themeFillTint="66"/>
          </w:tcPr>
          <w:p w14:paraId="675012BF" w14:textId="77777777" w:rsidR="00152A46" w:rsidRDefault="00152A46" w:rsidP="00031885">
            <w:pPr>
              <w:spacing w:after="80"/>
              <w:rPr>
                <w:b/>
              </w:rPr>
            </w:pPr>
            <w:r>
              <w:rPr>
                <w:b/>
              </w:rPr>
              <w:t>Сегашна состојба</w:t>
            </w:r>
          </w:p>
        </w:tc>
        <w:tc>
          <w:tcPr>
            <w:tcW w:w="6520" w:type="dxa"/>
            <w:shd w:val="clear" w:color="auto" w:fill="BDD6EE" w:themeFill="accent1" w:themeFillTint="66"/>
          </w:tcPr>
          <w:p w14:paraId="05EC0D45" w14:textId="77777777" w:rsidR="00152A46" w:rsidRDefault="00152A46" w:rsidP="00031885">
            <w:pPr>
              <w:tabs>
                <w:tab w:val="left" w:pos="15"/>
                <w:tab w:val="left" w:pos="624"/>
              </w:tabs>
              <w:spacing w:after="80"/>
              <w:rPr>
                <w:b/>
              </w:rPr>
            </w:pPr>
            <w:r>
              <w:rPr>
                <w:b/>
              </w:rPr>
              <w:t xml:space="preserve">Посакувана состојба (Каква промена сакаме?) </w:t>
            </w:r>
          </w:p>
        </w:tc>
      </w:tr>
      <w:tr w:rsidR="00152A46" w14:paraId="515EE54E" w14:textId="77777777" w:rsidTr="00031885">
        <w:tc>
          <w:tcPr>
            <w:tcW w:w="8784" w:type="dxa"/>
          </w:tcPr>
          <w:p w14:paraId="7DA654C2" w14:textId="77777777" w:rsidR="00152A46" w:rsidRDefault="00152A46" w:rsidP="00152A46">
            <w:pPr>
              <w:numPr>
                <w:ilvl w:val="0"/>
                <w:numId w:val="15"/>
              </w:numPr>
              <w:tabs>
                <w:tab w:val="left" w:pos="161"/>
                <w:tab w:val="left" w:pos="360"/>
              </w:tabs>
              <w:spacing w:after="80"/>
              <w:ind w:left="161" w:hanging="142"/>
            </w:pPr>
            <w:r>
              <w:t>Отсуство на капацитети за справување со РБН и булинг кај наставници и стручни соработници;</w:t>
            </w:r>
          </w:p>
          <w:p w14:paraId="710E96E7" w14:textId="62BC6308" w:rsidR="00152A46" w:rsidRDefault="00152A46" w:rsidP="00152A46">
            <w:pPr>
              <w:numPr>
                <w:ilvl w:val="0"/>
                <w:numId w:val="15"/>
              </w:numPr>
              <w:tabs>
                <w:tab w:val="left" w:pos="161"/>
                <w:tab w:val="left" w:pos="360"/>
              </w:tabs>
              <w:spacing w:after="80"/>
              <w:ind w:left="161" w:hanging="142"/>
            </w:pPr>
            <w:r>
              <w:t>Отсуство на капацитети кај ДПИ за справување со РБН и булинг</w:t>
            </w:r>
            <w:r w:rsidR="00F74F0A">
              <w:t>;</w:t>
            </w:r>
          </w:p>
          <w:p w14:paraId="57C002A5" w14:textId="00C051D7" w:rsidR="00152A46" w:rsidRDefault="00152A46" w:rsidP="00152A46">
            <w:pPr>
              <w:numPr>
                <w:ilvl w:val="0"/>
                <w:numId w:val="15"/>
              </w:numPr>
              <w:tabs>
                <w:tab w:val="left" w:pos="161"/>
                <w:tab w:val="left" w:pos="360"/>
              </w:tabs>
              <w:spacing w:after="80"/>
              <w:ind w:left="161" w:hanging="142"/>
            </w:pPr>
            <w:r>
              <w:t xml:space="preserve"> Отсуство на систематизирани обуки за наставнници, стручни соработници и ДПИ за справување со РБН и булинг</w:t>
            </w:r>
            <w:r w:rsidR="00F74F0A">
              <w:t>;</w:t>
            </w:r>
          </w:p>
        </w:tc>
        <w:tc>
          <w:tcPr>
            <w:tcW w:w="6520" w:type="dxa"/>
          </w:tcPr>
          <w:p w14:paraId="7C324EFA" w14:textId="77777777" w:rsidR="00152A46" w:rsidRDefault="00152A46" w:rsidP="00152A46">
            <w:pPr>
              <w:numPr>
                <w:ilvl w:val="0"/>
                <w:numId w:val="15"/>
              </w:numPr>
              <w:tabs>
                <w:tab w:val="left" w:pos="161"/>
                <w:tab w:val="left" w:pos="360"/>
              </w:tabs>
              <w:spacing w:after="80"/>
              <w:ind w:left="161" w:hanging="142"/>
            </w:pPr>
            <w:r>
              <w:t>Развиен систем за препознавање, превенција и заштита од РБН и булинг во училишта;</w:t>
            </w:r>
          </w:p>
          <w:p w14:paraId="310CC143" w14:textId="619C9E68" w:rsidR="00152A46" w:rsidRDefault="00152A46" w:rsidP="00152A46">
            <w:pPr>
              <w:numPr>
                <w:ilvl w:val="0"/>
                <w:numId w:val="15"/>
              </w:numPr>
              <w:tabs>
                <w:tab w:val="left" w:pos="161"/>
                <w:tab w:val="left" w:pos="360"/>
              </w:tabs>
              <w:spacing w:after="80"/>
              <w:ind w:left="161" w:hanging="142"/>
            </w:pPr>
            <w:r>
              <w:t>Развиени модули за обуки за целните групи</w:t>
            </w:r>
            <w:r w:rsidR="00F74F0A">
              <w:t>.</w:t>
            </w:r>
          </w:p>
        </w:tc>
      </w:tr>
    </w:tbl>
    <w:p w14:paraId="408FC37E" w14:textId="77777777" w:rsidR="00152A46" w:rsidRDefault="00152A46" w:rsidP="00152A46"/>
    <w:tbl>
      <w:tblPr>
        <w:tblStyle w:val="TableGrid"/>
        <w:tblW w:w="0" w:type="auto"/>
        <w:tblLook w:val="04A0" w:firstRow="1" w:lastRow="0" w:firstColumn="1" w:lastColumn="0" w:noHBand="0" w:noVBand="1"/>
      </w:tblPr>
      <w:tblGrid>
        <w:gridCol w:w="8784"/>
        <w:gridCol w:w="2126"/>
        <w:gridCol w:w="2268"/>
        <w:gridCol w:w="2210"/>
      </w:tblGrid>
      <w:tr w:rsidR="000F73B4" w14:paraId="6655FE05" w14:textId="77777777" w:rsidTr="00031885">
        <w:trPr>
          <w:tblHeader/>
        </w:trPr>
        <w:tc>
          <w:tcPr>
            <w:tcW w:w="8784" w:type="dxa"/>
            <w:shd w:val="clear" w:color="auto" w:fill="9CC2E5" w:themeFill="accent1" w:themeFillTint="99"/>
          </w:tcPr>
          <w:p w14:paraId="664B90AA" w14:textId="77777777" w:rsidR="00152A46" w:rsidRDefault="00152A46" w:rsidP="00031885">
            <w:pPr>
              <w:spacing w:after="80"/>
              <w:rPr>
                <w:b/>
              </w:rPr>
            </w:pPr>
            <w:r w:rsidRPr="00D5476F">
              <w:rPr>
                <w:b/>
              </w:rPr>
              <w:t xml:space="preserve">Аргументи </w:t>
            </w:r>
          </w:p>
        </w:tc>
        <w:tc>
          <w:tcPr>
            <w:tcW w:w="2126" w:type="dxa"/>
          </w:tcPr>
          <w:p w14:paraId="7BF9A611" w14:textId="77777777" w:rsidR="00152A46" w:rsidRDefault="00152A46" w:rsidP="00031885">
            <w:pPr>
              <w:spacing w:after="80"/>
              <w:rPr>
                <w:b/>
              </w:rPr>
            </w:pPr>
            <w:r>
              <w:rPr>
                <w:b/>
              </w:rPr>
              <w:t>Извори за аргументи</w:t>
            </w:r>
          </w:p>
        </w:tc>
        <w:tc>
          <w:tcPr>
            <w:tcW w:w="2268" w:type="dxa"/>
          </w:tcPr>
          <w:p w14:paraId="3364D1FD" w14:textId="77777777" w:rsidR="00152A46" w:rsidRDefault="00152A46" w:rsidP="00031885">
            <w:pPr>
              <w:spacing w:after="80"/>
              <w:rPr>
                <w:b/>
              </w:rPr>
            </w:pPr>
            <w:r>
              <w:rPr>
                <w:b/>
              </w:rPr>
              <w:t>Противници (контра-аргументи)</w:t>
            </w:r>
          </w:p>
        </w:tc>
        <w:tc>
          <w:tcPr>
            <w:tcW w:w="2210" w:type="dxa"/>
          </w:tcPr>
          <w:p w14:paraId="3DD89B78" w14:textId="77777777" w:rsidR="00152A46" w:rsidRDefault="00152A46" w:rsidP="00031885">
            <w:pPr>
              <w:spacing w:after="80"/>
              <w:rPr>
                <w:b/>
              </w:rPr>
            </w:pPr>
            <w:r>
              <w:rPr>
                <w:b/>
              </w:rPr>
              <w:t xml:space="preserve">Сојузници </w:t>
            </w:r>
          </w:p>
        </w:tc>
      </w:tr>
      <w:tr w:rsidR="00152A46" w14:paraId="17C91AD4" w14:textId="77777777" w:rsidTr="00031885">
        <w:tc>
          <w:tcPr>
            <w:tcW w:w="8784" w:type="dxa"/>
          </w:tcPr>
          <w:p w14:paraId="28979AAD" w14:textId="77777777" w:rsidR="00152A46" w:rsidRPr="0086235A" w:rsidRDefault="00152A46" w:rsidP="00031885">
            <w:pPr>
              <w:spacing w:after="120" w:line="276" w:lineRule="auto"/>
              <w:jc w:val="both"/>
              <w:rPr>
                <w:color w:val="333333"/>
              </w:rPr>
            </w:pPr>
            <w:r w:rsidRPr="0086235A">
              <w:rPr>
                <w:color w:val="333333"/>
              </w:rPr>
              <w:t>-</w:t>
            </w:r>
            <w:r w:rsidRPr="0086235A">
              <w:rPr>
                <w:color w:val="333333"/>
                <w:lang w:val="en-GB"/>
              </w:rPr>
              <w:t>P</w:t>
            </w:r>
            <w:r w:rsidRPr="0086235A">
              <w:rPr>
                <w:color w:val="333333"/>
              </w:rPr>
              <w:t>romoting awareness-raising and training on gender equality for all education</w:t>
            </w:r>
            <w:r w:rsidRPr="0086235A">
              <w:rPr>
                <w:color w:val="333333"/>
                <w:lang w:val="en-GB"/>
              </w:rPr>
              <w:t xml:space="preserve"> </w:t>
            </w:r>
            <w:r w:rsidRPr="0086235A">
              <w:rPr>
                <w:color w:val="333333"/>
              </w:rPr>
              <w:t>personnel, and particularly school principals; producing classroom aids and teacher training</w:t>
            </w:r>
            <w:r w:rsidRPr="0086235A">
              <w:rPr>
                <w:color w:val="333333"/>
                <w:lang w:val="en-GB"/>
              </w:rPr>
              <w:t xml:space="preserve"> </w:t>
            </w:r>
            <w:r w:rsidRPr="0086235A">
              <w:rPr>
                <w:color w:val="333333"/>
              </w:rPr>
              <w:t>materials on gender mainstreaming in education, and distributing them to</w:t>
            </w:r>
            <w:r w:rsidRPr="0086235A">
              <w:rPr>
                <w:color w:val="333333"/>
                <w:lang w:val="en-GB"/>
              </w:rPr>
              <w:t xml:space="preserve"> </w:t>
            </w:r>
            <w:r w:rsidRPr="0086235A">
              <w:rPr>
                <w:color w:val="333333"/>
              </w:rPr>
              <w:t>teachers</w:t>
            </w:r>
          </w:p>
          <w:p w14:paraId="5B15B5C3" w14:textId="77777777" w:rsidR="00152A46" w:rsidRPr="0086235A" w:rsidRDefault="00152A46" w:rsidP="00031885">
            <w:pPr>
              <w:spacing w:after="80"/>
              <w:rPr>
                <w:color w:val="333333"/>
                <w:highlight w:val="white"/>
              </w:rPr>
            </w:pPr>
            <w:r w:rsidRPr="0086235A">
              <w:rPr>
                <w:color w:val="333333"/>
              </w:rPr>
              <w:t xml:space="preserve">- </w:t>
            </w:r>
            <w:r w:rsidRPr="0086235A">
              <w:rPr>
                <w:color w:val="333333"/>
                <w:highlight w:val="white"/>
              </w:rPr>
              <w:t>Introducing approaches, methodologies, tools, and resources that have shown positive results in preventing and responding to school-related gender-based violence.</w:t>
            </w:r>
          </w:p>
          <w:p w14:paraId="6AEAEEA7" w14:textId="77777777" w:rsidR="00152A46" w:rsidRPr="0086235A" w:rsidRDefault="00152A46" w:rsidP="00031885">
            <w:pPr>
              <w:spacing w:after="80"/>
              <w:rPr>
                <w:color w:val="333333"/>
                <w:highlight w:val="white"/>
              </w:rPr>
            </w:pPr>
            <w:r>
              <w:rPr>
                <w:color w:val="333333"/>
                <w:highlight w:val="white"/>
              </w:rPr>
              <w:t xml:space="preserve">- </w:t>
            </w:r>
            <w:r>
              <w:rPr>
                <w:color w:val="333333"/>
                <w:highlight w:val="white"/>
                <w:lang w:val="en-GB"/>
              </w:rPr>
              <w:t>D</w:t>
            </w:r>
            <w:r w:rsidRPr="0086235A">
              <w:rPr>
                <w:color w:val="333333"/>
                <w:highlight w:val="white"/>
              </w:rPr>
              <w:t>evelop adequate programs for teachers trainings ON CSE</w:t>
            </w:r>
          </w:p>
          <w:p w14:paraId="51D25D53" w14:textId="77777777" w:rsidR="00152A46" w:rsidRPr="0086235A" w:rsidRDefault="00152A46" w:rsidP="00031885">
            <w:pPr>
              <w:spacing w:after="80"/>
              <w:rPr>
                <w:color w:val="333333"/>
                <w:highlight w:val="white"/>
              </w:rPr>
            </w:pPr>
            <w:r w:rsidRPr="0086235A">
              <w:rPr>
                <w:color w:val="333333"/>
                <w:highlight w:val="white"/>
              </w:rPr>
              <w:t>- Engaging parents and communities as part of this education is critical.Sexuality education is most effective when school-based programmes are complemented by community-based initiatives.</w:t>
            </w:r>
          </w:p>
          <w:p w14:paraId="0E531F48" w14:textId="77777777" w:rsidR="00152A46" w:rsidRPr="0086235A" w:rsidRDefault="00152A46" w:rsidP="00031885">
            <w:pPr>
              <w:spacing w:after="80"/>
              <w:rPr>
                <w:color w:val="333333"/>
                <w:highlight w:val="cyan"/>
              </w:rPr>
            </w:pPr>
            <w:r w:rsidRPr="0086235A">
              <w:rPr>
                <w:color w:val="333333"/>
                <w:highlight w:val="cyan"/>
              </w:rPr>
              <w:t>-Train professionals working with victims or perpetrators to recognise and respond to violence and make appropriate referrals</w:t>
            </w:r>
          </w:p>
          <w:p w14:paraId="25E3D6BD" w14:textId="77777777" w:rsidR="00152A46" w:rsidRDefault="00152A46" w:rsidP="00031885">
            <w:pPr>
              <w:spacing w:after="80"/>
              <w:rPr>
                <w:color w:val="333333"/>
                <w:sz w:val="20"/>
                <w:szCs w:val="20"/>
                <w:highlight w:val="white"/>
              </w:rPr>
            </w:pPr>
          </w:p>
          <w:p w14:paraId="30B1D260" w14:textId="77777777" w:rsidR="00152A46" w:rsidRDefault="00152A46" w:rsidP="00031885">
            <w:pPr>
              <w:spacing w:after="80"/>
              <w:rPr>
                <w:color w:val="5E5A55"/>
                <w:sz w:val="20"/>
                <w:szCs w:val="20"/>
                <w:highlight w:val="white"/>
              </w:rPr>
            </w:pPr>
          </w:p>
          <w:p w14:paraId="30E06BD1" w14:textId="77777777" w:rsidR="00152A46" w:rsidRDefault="00152A46" w:rsidP="00031885">
            <w:pPr>
              <w:spacing w:after="80"/>
              <w:rPr>
                <w:rFonts w:ascii="Roboto" w:eastAsia="Roboto" w:hAnsi="Roboto" w:cs="Roboto"/>
                <w:color w:val="5E5A55"/>
                <w:sz w:val="24"/>
                <w:szCs w:val="24"/>
                <w:highlight w:val="white"/>
              </w:rPr>
            </w:pPr>
          </w:p>
          <w:p w14:paraId="2C94FA95" w14:textId="77777777" w:rsidR="00152A46" w:rsidRDefault="00152A46" w:rsidP="00031885">
            <w:pPr>
              <w:spacing w:after="80"/>
              <w:rPr>
                <w:sz w:val="24"/>
                <w:szCs w:val="24"/>
              </w:rPr>
            </w:pPr>
          </w:p>
        </w:tc>
        <w:tc>
          <w:tcPr>
            <w:tcW w:w="2126" w:type="dxa"/>
          </w:tcPr>
          <w:p w14:paraId="6A5DEECF" w14:textId="77777777" w:rsidR="00152A46" w:rsidRPr="0086235A" w:rsidRDefault="00152A46" w:rsidP="00031885">
            <w:pPr>
              <w:spacing w:after="80"/>
              <w:rPr>
                <w:b/>
                <w:sz w:val="20"/>
                <w:szCs w:val="20"/>
                <w:highlight w:val="white"/>
                <w:u w:val="single"/>
              </w:rPr>
            </w:pPr>
            <w:r>
              <w:rPr>
                <w:b/>
                <w:sz w:val="20"/>
                <w:szCs w:val="20"/>
                <w:shd w:val="clear" w:color="auto" w:fill="C9DAF8"/>
              </w:rPr>
              <w:t>Recommendation CM/Rec(2007)13 of the Committee of Ministers to member states on gender mainstreaming in education</w:t>
            </w:r>
          </w:p>
          <w:p w14:paraId="309F5C62" w14:textId="77777777" w:rsidR="00152A46" w:rsidRDefault="00152A46" w:rsidP="00031885">
            <w:pPr>
              <w:spacing w:after="80"/>
              <w:rPr>
                <w:b/>
                <w:sz w:val="20"/>
                <w:szCs w:val="20"/>
                <w:u w:val="single"/>
              </w:rPr>
            </w:pPr>
            <w:r>
              <w:rPr>
                <w:b/>
                <w:sz w:val="20"/>
                <w:szCs w:val="20"/>
                <w:u w:val="single"/>
              </w:rPr>
              <w:t>Global guidance on addressing school-related gender-based violence</w:t>
            </w:r>
          </w:p>
          <w:p w14:paraId="6CA7E5A1" w14:textId="77777777" w:rsidR="00152A46" w:rsidRDefault="00152A46" w:rsidP="00031885">
            <w:pPr>
              <w:spacing w:after="80"/>
              <w:rPr>
                <w:b/>
                <w:sz w:val="20"/>
                <w:szCs w:val="20"/>
                <w:u w:val="single"/>
              </w:rPr>
            </w:pPr>
            <w:r>
              <w:rPr>
                <w:b/>
                <w:sz w:val="20"/>
                <w:szCs w:val="20"/>
                <w:u w:val="single"/>
              </w:rPr>
              <w:t>UNFPA</w:t>
            </w:r>
          </w:p>
          <w:p w14:paraId="00213D04" w14:textId="77777777" w:rsidR="00152A46" w:rsidRDefault="00152A46" w:rsidP="00031885">
            <w:pPr>
              <w:spacing w:after="80"/>
              <w:rPr>
                <w:b/>
                <w:sz w:val="20"/>
                <w:szCs w:val="20"/>
                <w:u w:val="single"/>
              </w:rPr>
            </w:pPr>
            <w:r>
              <w:rPr>
                <w:b/>
                <w:sz w:val="20"/>
                <w:szCs w:val="20"/>
                <w:highlight w:val="cyan"/>
              </w:rPr>
              <w:t>THE FOUR PILLARS OF THE ISTANBUL CONVENTION</w:t>
            </w:r>
          </w:p>
        </w:tc>
        <w:tc>
          <w:tcPr>
            <w:tcW w:w="2268" w:type="dxa"/>
          </w:tcPr>
          <w:p w14:paraId="162E68BF" w14:textId="77777777" w:rsidR="00152A46" w:rsidRDefault="00152A46" w:rsidP="00031885">
            <w:pPr>
              <w:spacing w:after="80"/>
            </w:pPr>
            <w:r>
              <w:t>Противници:</w:t>
            </w:r>
          </w:p>
          <w:p w14:paraId="0D7513E6" w14:textId="77777777" w:rsidR="00152A46" w:rsidRDefault="00152A46" w:rsidP="00031885">
            <w:pPr>
              <w:spacing w:after="80"/>
            </w:pPr>
            <w:r>
              <w:t>иницијатива „Учебници и настава мора да има“, анти-родово движење</w:t>
            </w:r>
          </w:p>
          <w:p w14:paraId="5F891C5A" w14:textId="77777777" w:rsidR="00152A46" w:rsidRDefault="00152A46" w:rsidP="00031885">
            <w:pPr>
              <w:spacing w:after="80"/>
            </w:pPr>
            <w:r>
              <w:t>Можеби дел од наставниците (??)</w:t>
            </w:r>
          </w:p>
          <w:p w14:paraId="7D1F179C" w14:textId="1C298CE5" w:rsidR="00152A46" w:rsidRDefault="00152A46" w:rsidP="00031885">
            <w:pPr>
              <w:spacing w:after="80"/>
            </w:pPr>
            <w:r>
              <w:t>-Маргини, ХЕРА и останатите организации од овој тип спроведуваат туѓа агенда и имаат за цел да манипулираат и индоктринираат преку овој тип на об</w:t>
            </w:r>
            <w:r w:rsidR="00743000">
              <w:t xml:space="preserve">уки за кои земаат големи пари. </w:t>
            </w:r>
          </w:p>
        </w:tc>
        <w:tc>
          <w:tcPr>
            <w:tcW w:w="2210" w:type="dxa"/>
          </w:tcPr>
          <w:p w14:paraId="2CD9B5A8" w14:textId="77777777" w:rsidR="00152A46" w:rsidRDefault="00152A46" w:rsidP="00031885">
            <w:pPr>
              <w:spacing w:after="80"/>
            </w:pPr>
            <w:r>
              <w:t>МОН, БРО, Граѓанскот општество (дел), UN Women (?)</w:t>
            </w:r>
          </w:p>
          <w:p w14:paraId="371ABCC8" w14:textId="77777777" w:rsidR="00152A46" w:rsidRDefault="00152A46" w:rsidP="00031885">
            <w:pPr>
              <w:spacing w:after="80"/>
            </w:pPr>
            <w:r>
              <w:t>Совет за соработка со граѓанското општество (?)</w:t>
            </w:r>
          </w:p>
        </w:tc>
      </w:tr>
    </w:tbl>
    <w:p w14:paraId="0000008B" w14:textId="77777777" w:rsidR="00D07151" w:rsidRDefault="00D07151">
      <w:pPr>
        <w:jc w:val="right"/>
        <w:rPr>
          <w:rFonts w:ascii="Arial Narrow" w:eastAsia="Arial Narrow" w:hAnsi="Arial Narrow" w:cs="Arial Narrow"/>
          <w:b/>
          <w:i/>
          <w:sz w:val="20"/>
          <w:szCs w:val="20"/>
        </w:rPr>
      </w:pPr>
    </w:p>
    <w:p w14:paraId="00000173" w14:textId="3B1B5349" w:rsidR="00D07151" w:rsidRDefault="00743000" w:rsidP="00F04E03">
      <w:pPr>
        <w:pStyle w:val="Heading1"/>
      </w:pPr>
      <w:bookmarkStart w:id="13" w:name="_Toc88737886"/>
      <w:r>
        <w:lastRenderedPageBreak/>
        <w:t xml:space="preserve">Прилог: Извадоци од меѓународните документи </w:t>
      </w:r>
      <w:r w:rsidR="00FF3B57">
        <w:t>релевантни за темите содржани во Рамката</w:t>
      </w:r>
      <w:bookmarkEnd w:id="13"/>
      <w:r w:rsidR="00FF3B57">
        <w:t xml:space="preserve"> </w:t>
      </w:r>
    </w:p>
    <w:sectPr w:rsidR="00D07151">
      <w:pgSz w:w="16838" w:h="11906" w:orient="landscape"/>
      <w:pgMar w:top="720" w:right="720" w:bottom="720" w:left="720" w:header="283" w:footer="283"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0218D9" w15:done="0"/>
  <w15:commentEx w15:paraId="4C40A798" w15:done="0"/>
  <w15:commentEx w15:paraId="163E1EF5" w15:done="0"/>
  <w15:commentEx w15:paraId="0848922D" w15:done="0"/>
  <w15:commentEx w15:paraId="1F570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8BA11" w14:textId="77777777" w:rsidR="008E4CE2" w:rsidRDefault="008E4CE2">
      <w:pPr>
        <w:spacing w:after="0" w:line="240" w:lineRule="auto"/>
      </w:pPr>
      <w:r>
        <w:separator/>
      </w:r>
    </w:p>
  </w:endnote>
  <w:endnote w:type="continuationSeparator" w:id="0">
    <w:p w14:paraId="32E4AB7A" w14:textId="77777777" w:rsidR="008E4CE2" w:rsidRDefault="008E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Roboto">
    <w:altName w:val="Times New Roman"/>
    <w:panose1 w:val="000000000000000000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7" w14:textId="77777777" w:rsidR="00CF7EF5" w:rsidRDefault="00CF7EF5">
    <w:pPr>
      <w:pBdr>
        <w:top w:val="nil"/>
        <w:left w:val="nil"/>
        <w:bottom w:val="nil"/>
        <w:right w:val="nil"/>
        <w:between w:val="nil"/>
      </w:pBdr>
      <w:tabs>
        <w:tab w:val="center" w:pos="4513"/>
        <w:tab w:val="right" w:pos="9026"/>
      </w:tabs>
      <w:spacing w:after="0" w:line="240" w:lineRule="auto"/>
      <w:jc w:val="center"/>
      <w:rPr>
        <w:color w:val="000000"/>
      </w:rPr>
    </w:pPr>
  </w:p>
  <w:p w14:paraId="00000178" w14:textId="77777777" w:rsidR="00CF7EF5" w:rsidRDefault="00CF7EF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9" w14:textId="1EB4F8FC" w:rsidR="00CF7EF5" w:rsidRDefault="00CF7EF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3D86">
      <w:rPr>
        <w:noProof/>
        <w:color w:val="000000"/>
      </w:rPr>
      <w:t>1</w:t>
    </w:r>
    <w:r>
      <w:rPr>
        <w:color w:val="000000"/>
      </w:rPr>
      <w:fldChar w:fldCharType="end"/>
    </w:r>
  </w:p>
  <w:p w14:paraId="0000017A" w14:textId="77777777" w:rsidR="00CF7EF5" w:rsidRDefault="00CF7EF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76B2" w14:textId="77777777" w:rsidR="008E4CE2" w:rsidRDefault="008E4CE2">
      <w:pPr>
        <w:spacing w:after="0" w:line="240" w:lineRule="auto"/>
      </w:pPr>
      <w:r>
        <w:separator/>
      </w:r>
    </w:p>
  </w:footnote>
  <w:footnote w:type="continuationSeparator" w:id="0">
    <w:p w14:paraId="414B3930" w14:textId="77777777" w:rsidR="008E4CE2" w:rsidRDefault="008E4CE2">
      <w:pPr>
        <w:spacing w:after="0" w:line="240" w:lineRule="auto"/>
      </w:pPr>
      <w:r>
        <w:continuationSeparator/>
      </w:r>
    </w:p>
  </w:footnote>
  <w:footnote w:id="1">
    <w:p w14:paraId="103D92EC" w14:textId="6E29CDC1" w:rsidR="00CF7EF5" w:rsidRPr="0001394F" w:rsidRDefault="00CF7EF5">
      <w:pPr>
        <w:pStyle w:val="FootnoteText"/>
        <w:rPr>
          <w:rFonts w:asciiTheme="minorHAnsi" w:hAnsiTheme="minorHAnsi" w:cstheme="minorHAnsi"/>
          <w:sz w:val="16"/>
          <w:szCs w:val="16"/>
        </w:rPr>
      </w:pPr>
      <w:r w:rsidRPr="0001394F">
        <w:rPr>
          <w:rStyle w:val="FootnoteReference"/>
          <w:rFonts w:asciiTheme="minorHAnsi" w:hAnsiTheme="minorHAnsi" w:cstheme="minorHAnsi"/>
          <w:sz w:val="16"/>
          <w:szCs w:val="16"/>
        </w:rPr>
        <w:footnoteRef/>
      </w:r>
      <w:r w:rsidRPr="0001394F">
        <w:rPr>
          <w:rFonts w:asciiTheme="minorHAnsi" w:hAnsiTheme="minorHAnsi" w:cstheme="minorHAnsi"/>
          <w:sz w:val="16"/>
          <w:szCs w:val="16"/>
        </w:rPr>
        <w:t xml:space="preserve"> 2021 Strategic Foresight Report, </w:t>
      </w:r>
      <w:r w:rsidRPr="0001394F">
        <w:rPr>
          <w:rFonts w:asciiTheme="minorHAnsi" w:hAnsiTheme="minorHAnsi" w:cstheme="minorHAnsi"/>
          <w:sz w:val="16"/>
          <w:szCs w:val="16"/>
          <w:lang w:val="en-GB"/>
        </w:rPr>
        <w:t>European Commission</w:t>
      </w:r>
      <w:r w:rsidRPr="0001394F">
        <w:rPr>
          <w:rFonts w:asciiTheme="minorHAnsi" w:hAnsiTheme="minorHAnsi" w:cstheme="minorHAnsi"/>
          <w:sz w:val="16"/>
          <w:szCs w:val="16"/>
          <w:lang w:val="mk-MK"/>
        </w:rPr>
        <w:t>.</w:t>
      </w:r>
      <w:r w:rsidRPr="0001394F">
        <w:rPr>
          <w:rFonts w:asciiTheme="minorHAnsi" w:hAnsiTheme="minorHAnsi" w:cstheme="minorHAnsi"/>
          <w:sz w:val="16"/>
          <w:szCs w:val="16"/>
        </w:rPr>
        <w:t xml:space="preserve">  </w:t>
      </w:r>
    </w:p>
  </w:footnote>
  <w:footnote w:id="2">
    <w:p w14:paraId="732BFB74" w14:textId="77777777" w:rsidR="00CF7EF5" w:rsidRDefault="00CF7EF5" w:rsidP="00FC2C0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 xml:space="preserve">Analzia </w:t>
      </w:r>
      <w:r>
        <w:rPr>
          <w:color w:val="000000"/>
          <w:sz w:val="16"/>
          <w:szCs w:val="16"/>
        </w:rPr>
        <w:t>MTSP</w:t>
      </w:r>
    </w:p>
  </w:footnote>
  <w:footnote w:id="3">
    <w:p w14:paraId="049908A5" w14:textId="77777777" w:rsidR="00CF7EF5" w:rsidRDefault="00CF7EF5" w:rsidP="009F4F2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color w:val="000000"/>
          <w:sz w:val="16"/>
          <w:szCs w:val="16"/>
        </w:rPr>
        <w:t xml:space="preserve">Azza </w:t>
      </w:r>
      <w:r>
        <w:rPr>
          <w:color w:val="000000"/>
          <w:sz w:val="16"/>
          <w:szCs w:val="16"/>
        </w:rPr>
        <w:t>Karam, Education as the Pathway towards Gender Equality, available at: https://www.un.org/en/chronicle/article/education-pathway-towards-gender-equality</w:t>
      </w:r>
    </w:p>
  </w:footnote>
  <w:footnote w:id="4">
    <w:p w14:paraId="7DED4EAC" w14:textId="77777777" w:rsidR="00CF7EF5" w:rsidRDefault="00CF7EF5" w:rsidP="009F4F2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color w:val="000000"/>
          <w:sz w:val="16"/>
          <w:szCs w:val="16"/>
        </w:rPr>
        <w:t xml:space="preserve">Lina </w:t>
      </w:r>
      <w:r>
        <w:rPr>
          <w:color w:val="000000"/>
          <w:sz w:val="16"/>
          <w:szCs w:val="16"/>
        </w:rPr>
        <w:t>Kostarova Unkovska, Do we have a winner? Gender inequalities in health and life perspectives of adolescents in North Macedonia, available at: http://coalition.org.mk/portfolio_page/%d0%b8%d0%bc%d0%b0%d0%bc%d0%b5-%d0%bb%d0%b8-%d0%bf%d0%be%d0%b1%d0%b5%d0%b4%d0%bd%d0%b8%d0%ba-%d1%80%d0%be%d0%b4%d0%be%d0%b2%d0%b8-%d0%bd%d0%b5%d0%b5%d0%b4%d0%bd%d0%b0%d0%ba%d0%b2%d0%be%d1%81%d1%82/</w:t>
      </w:r>
    </w:p>
  </w:footnote>
  <w:footnote w:id="5">
    <w:p w14:paraId="13F0072F" w14:textId="77777777" w:rsidR="00CF7EF5" w:rsidRDefault="00CF7EF5" w:rsidP="009F4F2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color w:val="000000"/>
          <w:sz w:val="16"/>
          <w:szCs w:val="16"/>
        </w:rPr>
        <w:t>Source: https://www.worldbank.org/en/topic/socialsustainability/brief/violence-against-women-and-girls</w:t>
      </w:r>
    </w:p>
  </w:footnote>
  <w:footnote w:id="6">
    <w:p w14:paraId="7A5062B9" w14:textId="77777777" w:rsidR="00CF7EF5" w:rsidRDefault="00CF7EF5" w:rsidP="009F4F2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color w:val="000000"/>
          <w:sz w:val="16"/>
          <w:szCs w:val="16"/>
        </w:rPr>
        <w:t xml:space="preserve">Source: </w:t>
      </w:r>
      <w:r>
        <w:rPr>
          <w:color w:val="000000"/>
          <w:sz w:val="16"/>
          <w:szCs w:val="16"/>
        </w:rPr>
        <w:t>https://www.togetherforgirls.org/investing-in-schools-and-teachers/</w:t>
      </w:r>
    </w:p>
  </w:footnote>
  <w:footnote w:id="7">
    <w:p w14:paraId="2630D75A" w14:textId="61C7A17D" w:rsidR="00CF7EF5" w:rsidRPr="00AE0C68" w:rsidRDefault="00CF7EF5" w:rsidP="00AE0C68">
      <w:pPr>
        <w:pStyle w:val="FootnoteText"/>
        <w:rPr>
          <w:rFonts w:asciiTheme="minorHAnsi" w:hAnsiTheme="minorHAnsi" w:cstheme="minorHAnsi"/>
          <w:sz w:val="16"/>
          <w:szCs w:val="16"/>
          <w:lang w:val="en-GB"/>
        </w:rPr>
      </w:pPr>
      <w:r w:rsidRPr="00AE0C68">
        <w:rPr>
          <w:rStyle w:val="FootnoteReference"/>
          <w:rFonts w:asciiTheme="minorHAnsi" w:hAnsiTheme="minorHAnsi" w:cstheme="minorHAnsi"/>
          <w:sz w:val="16"/>
          <w:szCs w:val="16"/>
        </w:rPr>
        <w:footnoteRef/>
      </w:r>
      <w:r w:rsidRPr="00AE0C68">
        <w:rPr>
          <w:rFonts w:asciiTheme="minorHAnsi" w:hAnsiTheme="minorHAnsi" w:cstheme="minorHAnsi"/>
          <w:sz w:val="16"/>
          <w:szCs w:val="16"/>
        </w:rPr>
        <w:t xml:space="preserve"> </w:t>
      </w:r>
      <w:hyperlink r:id="rId1" w:history="1">
        <w:r w:rsidRPr="00AE0C68">
          <w:rPr>
            <w:rStyle w:val="Hyperlink"/>
            <w:rFonts w:asciiTheme="minorHAnsi" w:hAnsiTheme="minorHAnsi" w:cstheme="minorHAnsi"/>
            <w:sz w:val="16"/>
            <w:szCs w:val="16"/>
            <w:lang w:val="en-GB"/>
          </w:rPr>
          <w:t>http</w:t>
        </w:r>
      </w:hyperlink>
      <w:hyperlink r:id="rId2" w:history="1">
        <w:r w:rsidRPr="00AE0C68">
          <w:rPr>
            <w:rStyle w:val="Hyperlink"/>
            <w:rFonts w:asciiTheme="minorHAnsi" w:hAnsiTheme="minorHAnsi" w:cstheme="minorHAnsi"/>
            <w:sz w:val="16"/>
            <w:szCs w:val="16"/>
            <w:lang w:val="en-GB"/>
          </w:rPr>
          <w:t>://</w:t>
        </w:r>
      </w:hyperlink>
      <w:hyperlink r:id="rId3" w:history="1">
        <w:r w:rsidRPr="00AE0C68">
          <w:rPr>
            <w:rStyle w:val="Hyperlink"/>
            <w:rFonts w:asciiTheme="minorHAnsi" w:hAnsiTheme="minorHAnsi" w:cstheme="minorHAnsi"/>
            <w:sz w:val="16"/>
            <w:szCs w:val="16"/>
            <w:lang w:val="en-GB"/>
          </w:rPr>
          <w:t>portal.unesco.org/en/ev.php-URL_ID=12949&amp;URL_DO=DO_TOPIC&amp;URL_SECTION=201.html</w:t>
        </w:r>
      </w:hyperlink>
    </w:p>
  </w:footnote>
  <w:footnote w:id="8">
    <w:p w14:paraId="68B28149" w14:textId="3A3EAF08" w:rsidR="00CF7EF5" w:rsidRPr="00AE0C68" w:rsidRDefault="00CF7EF5">
      <w:pPr>
        <w:pStyle w:val="FootnoteText"/>
        <w:rPr>
          <w:rFonts w:asciiTheme="minorHAnsi" w:hAnsiTheme="minorHAnsi" w:cstheme="minorHAnsi"/>
          <w:sz w:val="16"/>
          <w:szCs w:val="16"/>
          <w:lang w:val="mk-MK"/>
        </w:rPr>
      </w:pPr>
      <w:r w:rsidRPr="00AE0C68">
        <w:rPr>
          <w:rStyle w:val="FootnoteReference"/>
          <w:rFonts w:asciiTheme="minorHAnsi" w:hAnsiTheme="minorHAnsi" w:cstheme="minorHAnsi"/>
          <w:sz w:val="16"/>
          <w:szCs w:val="16"/>
        </w:rPr>
        <w:footnoteRef/>
      </w:r>
      <w:r w:rsidRPr="00AE0C68">
        <w:rPr>
          <w:rFonts w:asciiTheme="minorHAnsi" w:hAnsiTheme="minorHAnsi" w:cstheme="minorHAnsi"/>
          <w:sz w:val="16"/>
          <w:szCs w:val="16"/>
        </w:rPr>
        <w:t xml:space="preserve"> </w:t>
      </w:r>
      <w:hyperlink r:id="rId4" w:history="1">
        <w:r w:rsidRPr="00AE0C68">
          <w:rPr>
            <w:rStyle w:val="Hyperlink"/>
            <w:rFonts w:asciiTheme="minorHAnsi" w:hAnsiTheme="minorHAnsi" w:cstheme="minorHAnsi"/>
            <w:sz w:val="16"/>
            <w:szCs w:val="16"/>
            <w:lang w:val="mk-MK"/>
          </w:rPr>
          <w:t>https://</w:t>
        </w:r>
      </w:hyperlink>
      <w:hyperlink r:id="rId5" w:history="1">
        <w:r w:rsidRPr="00AE0C68">
          <w:rPr>
            <w:rStyle w:val="Hyperlink"/>
            <w:rFonts w:asciiTheme="minorHAnsi" w:hAnsiTheme="minorHAnsi" w:cstheme="minorHAnsi"/>
            <w:sz w:val="16"/>
            <w:szCs w:val="16"/>
            <w:lang w:val="mk-MK"/>
          </w:rPr>
          <w:t>search.coe.int/cm/Pages/result_details.aspx?ObjectID=09000016805d5287</w:t>
        </w:r>
      </w:hyperlink>
    </w:p>
  </w:footnote>
  <w:footnote w:id="9">
    <w:p w14:paraId="25349ECA" w14:textId="5C45B148" w:rsidR="00CF7EF5" w:rsidRPr="00AE0C68" w:rsidRDefault="00CF7EF5">
      <w:pPr>
        <w:pStyle w:val="FootnoteText"/>
        <w:rPr>
          <w:rFonts w:asciiTheme="minorHAnsi" w:hAnsiTheme="minorHAnsi" w:cstheme="minorHAnsi"/>
          <w:sz w:val="16"/>
          <w:szCs w:val="16"/>
          <w:lang w:val="en-GB"/>
        </w:rPr>
      </w:pPr>
      <w:r w:rsidRPr="00AE0C68">
        <w:rPr>
          <w:rStyle w:val="FootnoteReference"/>
          <w:rFonts w:asciiTheme="minorHAnsi" w:hAnsiTheme="minorHAnsi" w:cstheme="minorHAnsi"/>
          <w:sz w:val="16"/>
          <w:szCs w:val="16"/>
        </w:rPr>
        <w:footnoteRef/>
      </w:r>
      <w:r w:rsidRPr="00AE0C68">
        <w:rPr>
          <w:rFonts w:asciiTheme="minorHAnsi" w:hAnsiTheme="minorHAnsi" w:cstheme="minorHAnsi"/>
          <w:sz w:val="16"/>
          <w:szCs w:val="16"/>
        </w:rPr>
        <w:t xml:space="preserve"> </w:t>
      </w:r>
      <w:hyperlink r:id="rId6" w:history="1">
        <w:r w:rsidRPr="00AE0C68">
          <w:rPr>
            <w:rStyle w:val="Hyperlink"/>
            <w:rFonts w:asciiTheme="minorHAnsi" w:hAnsiTheme="minorHAnsi" w:cstheme="minorHAnsi"/>
            <w:sz w:val="16"/>
            <w:szCs w:val="16"/>
            <w:lang w:val="en-GB"/>
          </w:rPr>
          <w:t>https</w:t>
        </w:r>
      </w:hyperlink>
      <w:hyperlink r:id="rId7" w:history="1">
        <w:r w:rsidRPr="00AE0C68">
          <w:rPr>
            <w:rStyle w:val="Hyperlink"/>
            <w:rFonts w:asciiTheme="minorHAnsi" w:hAnsiTheme="minorHAnsi" w:cstheme="minorHAnsi"/>
            <w:sz w:val="16"/>
            <w:szCs w:val="16"/>
            <w:lang w:val="en-GB"/>
          </w:rPr>
          <w:t>://</w:t>
        </w:r>
      </w:hyperlink>
      <w:hyperlink r:id="rId8" w:history="1">
        <w:r w:rsidRPr="00AE0C68">
          <w:rPr>
            <w:rStyle w:val="Hyperlink"/>
            <w:rFonts w:asciiTheme="minorHAnsi" w:hAnsiTheme="minorHAnsi" w:cstheme="minorHAnsi"/>
            <w:sz w:val="16"/>
            <w:szCs w:val="16"/>
            <w:lang w:val="en-GB"/>
          </w:rPr>
          <w:t>en.unesco.org/themes/inclusion-in-education</w:t>
        </w:r>
      </w:hyperlink>
    </w:p>
  </w:footnote>
  <w:footnote w:id="10">
    <w:p w14:paraId="46F222DF" w14:textId="77777777" w:rsidR="00CF7EF5" w:rsidRPr="008C25A6" w:rsidRDefault="00CF7EF5" w:rsidP="009F4F2F">
      <w:pPr>
        <w:pStyle w:val="FootnoteText"/>
        <w:rPr>
          <w:rFonts w:asciiTheme="minorHAnsi" w:hAnsiTheme="minorHAnsi" w:cstheme="minorHAnsi"/>
          <w:sz w:val="16"/>
          <w:szCs w:val="16"/>
          <w:lang w:val="mk-MK"/>
        </w:rPr>
      </w:pPr>
      <w:r w:rsidRPr="008C25A6">
        <w:rPr>
          <w:rStyle w:val="FootnoteReference"/>
          <w:rFonts w:asciiTheme="minorHAnsi" w:hAnsiTheme="minorHAnsi" w:cstheme="minorHAnsi"/>
          <w:sz w:val="16"/>
          <w:szCs w:val="16"/>
        </w:rPr>
        <w:footnoteRef/>
      </w:r>
      <w:r w:rsidRPr="008C25A6">
        <w:rPr>
          <w:rFonts w:asciiTheme="minorHAnsi" w:hAnsiTheme="minorHAnsi" w:cstheme="minorHAnsi"/>
          <w:sz w:val="16"/>
          <w:szCs w:val="16"/>
        </w:rPr>
        <w:t xml:space="preserve"> </w:t>
      </w:r>
      <w:r w:rsidRPr="008C25A6">
        <w:rPr>
          <w:rFonts w:asciiTheme="minorHAnsi" w:hAnsiTheme="minorHAnsi" w:cstheme="minorHAnsi"/>
          <w:sz w:val="16"/>
          <w:szCs w:val="16"/>
          <w:lang w:val="mk-MK"/>
        </w:rPr>
        <w:t>Член 2 и член 3(3)</w:t>
      </w:r>
    </w:p>
  </w:footnote>
  <w:footnote w:id="11">
    <w:p w14:paraId="52309423" w14:textId="77777777" w:rsidR="00CF7EF5" w:rsidRPr="003901CD" w:rsidRDefault="00CF7EF5" w:rsidP="009F4F2F">
      <w:pPr>
        <w:pStyle w:val="FootnoteText"/>
        <w:rPr>
          <w:lang w:val="mk-MK"/>
        </w:rPr>
      </w:pPr>
      <w:r w:rsidRPr="008C25A6">
        <w:rPr>
          <w:rStyle w:val="FootnoteReference"/>
          <w:rFonts w:asciiTheme="minorHAnsi" w:hAnsiTheme="minorHAnsi" w:cstheme="minorHAnsi"/>
          <w:sz w:val="16"/>
          <w:szCs w:val="16"/>
        </w:rPr>
        <w:footnoteRef/>
      </w:r>
      <w:r w:rsidRPr="008C25A6">
        <w:rPr>
          <w:rFonts w:asciiTheme="minorHAnsi" w:hAnsiTheme="minorHAnsi" w:cstheme="minorHAnsi"/>
          <w:sz w:val="16"/>
          <w:szCs w:val="16"/>
        </w:rPr>
        <w:t xml:space="preserve"> </w:t>
      </w:r>
      <w:r w:rsidRPr="008C25A6">
        <w:rPr>
          <w:rFonts w:asciiTheme="minorHAnsi" w:hAnsiTheme="minorHAnsi" w:cstheme="minorHAnsi"/>
          <w:sz w:val="16"/>
          <w:szCs w:val="16"/>
          <w:lang w:val="mk-MK"/>
        </w:rPr>
        <w:t xml:space="preserve">Чл. </w:t>
      </w:r>
      <w:r w:rsidRPr="008C25A6">
        <w:rPr>
          <w:rFonts w:asciiTheme="minorHAnsi" w:hAnsiTheme="minorHAnsi" w:cstheme="minorHAnsi"/>
          <w:sz w:val="16"/>
          <w:szCs w:val="16"/>
          <w:lang w:val="mk-MK"/>
        </w:rPr>
        <w:t>19.</w:t>
      </w:r>
    </w:p>
  </w:footnote>
  <w:footnote w:id="12">
    <w:p w14:paraId="102B55AF" w14:textId="7C0B4405" w:rsidR="00CF7EF5" w:rsidRPr="008D4768" w:rsidRDefault="00CF7EF5">
      <w:pPr>
        <w:pStyle w:val="FootnoteText"/>
        <w:rPr>
          <w:rFonts w:asciiTheme="minorHAnsi" w:hAnsiTheme="minorHAnsi" w:cstheme="minorHAnsi"/>
          <w:sz w:val="16"/>
          <w:szCs w:val="16"/>
          <w:lang w:val="mk-MK"/>
        </w:rPr>
      </w:pPr>
      <w:r w:rsidRPr="008D4768">
        <w:rPr>
          <w:rStyle w:val="FootnoteReference"/>
          <w:rFonts w:asciiTheme="minorHAnsi" w:hAnsiTheme="minorHAnsi" w:cstheme="minorHAnsi"/>
          <w:sz w:val="16"/>
          <w:szCs w:val="16"/>
        </w:rPr>
        <w:footnoteRef/>
      </w:r>
      <w:r w:rsidRPr="008D4768">
        <w:rPr>
          <w:rFonts w:asciiTheme="minorHAnsi" w:hAnsiTheme="minorHAnsi" w:cstheme="minorHAnsi"/>
          <w:sz w:val="16"/>
          <w:szCs w:val="16"/>
        </w:rPr>
        <w:t xml:space="preserve"> </w:t>
      </w:r>
      <w:r w:rsidRPr="008D4768">
        <w:rPr>
          <w:rFonts w:asciiTheme="minorHAnsi" w:hAnsiTheme="minorHAnsi" w:cstheme="minorHAnsi"/>
          <w:color w:val="444444"/>
          <w:sz w:val="16"/>
          <w:szCs w:val="16"/>
          <w:shd w:val="clear" w:color="auto" w:fill="FFFFFF"/>
        </w:rPr>
        <w:t>Directive 2012/29/EU of the European Parliament and of the Council of 25 October 2012 establishing minimum standards on the rights, support and protection of victims of crime, and replacing Council Framework Decision 2001/220/JHA</w:t>
      </w:r>
    </w:p>
  </w:footnote>
  <w:footnote w:id="13">
    <w:p w14:paraId="5D5C838D" w14:textId="7D119A8F" w:rsidR="00CF7EF5" w:rsidRPr="009F7CA7" w:rsidRDefault="00CF7EF5">
      <w:pPr>
        <w:pStyle w:val="FootnoteText"/>
        <w:rPr>
          <w:rFonts w:asciiTheme="minorHAnsi" w:hAnsiTheme="minorHAnsi" w:cstheme="minorHAnsi"/>
          <w:sz w:val="16"/>
          <w:szCs w:val="16"/>
          <w:lang w:val="en-GB"/>
        </w:rPr>
      </w:pPr>
      <w:r w:rsidRPr="009F7CA7">
        <w:rPr>
          <w:rStyle w:val="FootnoteReference"/>
          <w:rFonts w:asciiTheme="minorHAnsi" w:hAnsiTheme="minorHAnsi" w:cstheme="minorHAnsi"/>
          <w:sz w:val="16"/>
          <w:szCs w:val="16"/>
        </w:rPr>
        <w:footnoteRef/>
      </w:r>
      <w:r w:rsidRPr="009F7CA7">
        <w:rPr>
          <w:rFonts w:asciiTheme="minorHAnsi" w:hAnsiTheme="minorHAnsi" w:cstheme="minorHAnsi"/>
          <w:sz w:val="16"/>
          <w:szCs w:val="16"/>
        </w:rPr>
        <w:t xml:space="preserve"> </w:t>
      </w:r>
      <w:r w:rsidRPr="009F7CA7">
        <w:rPr>
          <w:rFonts w:asciiTheme="minorHAnsi" w:hAnsiTheme="minorHAnsi" w:cstheme="minorHAnsi"/>
          <w:sz w:val="16"/>
          <w:szCs w:val="16"/>
          <w:lang w:val="en-GB"/>
        </w:rPr>
        <w:t xml:space="preserve">Joint conclusions of the European Parliament, Council of the European Union and the European Commission on Policy Objectives and Priorities 2020-2024, https://ec.europa.eu/info/sites/default/files/joint-conclusions-policy-objectives-2019-2024_en.pdf </w:t>
      </w:r>
    </w:p>
  </w:footnote>
  <w:footnote w:id="14">
    <w:p w14:paraId="50985903" w14:textId="06BF3493" w:rsidR="00CF7EF5" w:rsidRPr="009F7CA7" w:rsidRDefault="00CF7EF5">
      <w:pPr>
        <w:pStyle w:val="FootnoteText"/>
        <w:rPr>
          <w:rFonts w:asciiTheme="minorHAnsi" w:hAnsiTheme="minorHAnsi" w:cstheme="minorHAnsi"/>
          <w:sz w:val="16"/>
          <w:szCs w:val="16"/>
          <w:lang w:val="en-GB"/>
        </w:rPr>
      </w:pPr>
      <w:r w:rsidRPr="009F7CA7">
        <w:rPr>
          <w:rStyle w:val="FootnoteReference"/>
          <w:rFonts w:asciiTheme="minorHAnsi" w:hAnsiTheme="minorHAnsi" w:cstheme="minorHAnsi"/>
          <w:sz w:val="16"/>
          <w:szCs w:val="16"/>
        </w:rPr>
        <w:footnoteRef/>
      </w:r>
      <w:r w:rsidRPr="009F7CA7">
        <w:rPr>
          <w:rFonts w:asciiTheme="minorHAnsi" w:hAnsiTheme="minorHAnsi" w:cstheme="minorHAnsi"/>
          <w:sz w:val="16"/>
          <w:szCs w:val="16"/>
        </w:rPr>
        <w:t xml:space="preserve"> </w:t>
      </w:r>
      <w:hyperlink r:id="rId9" w:history="1">
        <w:r w:rsidRPr="009F7CA7">
          <w:rPr>
            <w:rStyle w:val="Hyperlink"/>
            <w:rFonts w:asciiTheme="minorHAnsi" w:hAnsiTheme="minorHAnsi" w:cstheme="minorHAnsi"/>
            <w:sz w:val="16"/>
            <w:szCs w:val="16"/>
            <w:lang w:val="en-GB"/>
          </w:rPr>
          <w:t>https://op.europa.eu/webpub/empl/european-pillar-of-social-rights/en/#</w:t>
        </w:r>
      </w:hyperlink>
      <w:hyperlink r:id="rId10" w:history="1">
        <w:r w:rsidRPr="009F7CA7">
          <w:rPr>
            <w:rStyle w:val="Hyperlink"/>
            <w:rFonts w:asciiTheme="minorHAnsi" w:hAnsiTheme="minorHAnsi" w:cstheme="minorHAnsi"/>
            <w:sz w:val="16"/>
            <w:szCs w:val="16"/>
            <w:lang w:val="en-GB"/>
          </w:rPr>
          <w:t>annex1</w:t>
        </w:r>
      </w:hyperlink>
    </w:p>
  </w:footnote>
  <w:footnote w:id="15">
    <w:p w14:paraId="10C8DB83" w14:textId="2CBFF531" w:rsidR="00CF7EF5" w:rsidRPr="008D4768" w:rsidRDefault="00CF7EF5">
      <w:pPr>
        <w:pStyle w:val="FootnoteText"/>
        <w:rPr>
          <w:rFonts w:asciiTheme="minorHAnsi" w:hAnsiTheme="minorHAnsi" w:cstheme="minorHAnsi"/>
          <w:sz w:val="16"/>
          <w:szCs w:val="16"/>
          <w:lang w:val="mk-MK"/>
        </w:rPr>
      </w:pPr>
      <w:r w:rsidRPr="008D4768">
        <w:rPr>
          <w:rStyle w:val="FootnoteReference"/>
          <w:rFonts w:asciiTheme="minorHAnsi" w:hAnsiTheme="minorHAnsi" w:cstheme="minorHAnsi"/>
          <w:sz w:val="16"/>
          <w:szCs w:val="16"/>
        </w:rPr>
        <w:footnoteRef/>
      </w:r>
      <w:r w:rsidRPr="008D4768">
        <w:rPr>
          <w:rFonts w:asciiTheme="minorHAnsi" w:hAnsiTheme="minorHAnsi" w:cstheme="minorHAnsi"/>
          <w:sz w:val="16"/>
          <w:szCs w:val="16"/>
        </w:rPr>
        <w:t xml:space="preserve"> https://eur-lex.europa.eu/legal-content/EN/TXT/?uri=CELEX%3A52020DC0152</w:t>
      </w:r>
    </w:p>
  </w:footnote>
  <w:footnote w:id="16">
    <w:p w14:paraId="0B1DE910" w14:textId="3659483B" w:rsidR="00CF7EF5" w:rsidRPr="007F75F2" w:rsidRDefault="00CF7EF5">
      <w:pPr>
        <w:pStyle w:val="FootnoteText"/>
      </w:pPr>
      <w:r w:rsidRPr="008D4768">
        <w:rPr>
          <w:rStyle w:val="FootnoteReference"/>
          <w:rFonts w:asciiTheme="minorHAnsi" w:hAnsiTheme="minorHAnsi" w:cstheme="minorHAnsi"/>
          <w:sz w:val="16"/>
          <w:szCs w:val="16"/>
        </w:rPr>
        <w:footnoteRef/>
      </w:r>
      <w:r w:rsidRPr="008D4768">
        <w:rPr>
          <w:rFonts w:asciiTheme="minorHAnsi" w:hAnsiTheme="minorHAnsi" w:cstheme="minorHAnsi"/>
          <w:sz w:val="16"/>
          <w:szCs w:val="16"/>
        </w:rPr>
        <w:t xml:space="preserve"> https://eur-lex.europa.eu/legal-content/EN/TXT/?uri=CELEX:52020DC0698</w:t>
      </w:r>
    </w:p>
  </w:footnote>
  <w:footnote w:id="17">
    <w:p w14:paraId="771FD164" w14:textId="25C01E41" w:rsidR="00CF7EF5" w:rsidRPr="00A961F5" w:rsidRDefault="00CF7EF5">
      <w:pPr>
        <w:pStyle w:val="FootnoteText"/>
        <w:rPr>
          <w:rFonts w:asciiTheme="minorHAnsi" w:hAnsiTheme="minorHAnsi" w:cstheme="minorHAnsi"/>
          <w:sz w:val="16"/>
          <w:szCs w:val="16"/>
          <w:lang w:val="en-GB"/>
        </w:rPr>
      </w:pPr>
      <w:r w:rsidRPr="00A961F5">
        <w:rPr>
          <w:rStyle w:val="FootnoteReference"/>
          <w:rFonts w:asciiTheme="minorHAnsi" w:hAnsiTheme="minorHAnsi" w:cstheme="minorHAnsi"/>
          <w:sz w:val="16"/>
          <w:szCs w:val="16"/>
        </w:rPr>
        <w:footnoteRef/>
      </w:r>
      <w:r w:rsidRPr="00A961F5">
        <w:rPr>
          <w:rFonts w:asciiTheme="minorHAnsi" w:hAnsiTheme="minorHAnsi" w:cstheme="minorHAnsi"/>
          <w:sz w:val="16"/>
          <w:szCs w:val="16"/>
        </w:rPr>
        <w:t xml:space="preserve"> https://eur-lex.europa.eu/legal-content/EN/TXT/?uri=CELEX%3A52020JC0005</w:t>
      </w:r>
    </w:p>
  </w:footnote>
  <w:footnote w:id="18">
    <w:p w14:paraId="2A702D72" w14:textId="441565F7" w:rsidR="00CF7EF5" w:rsidRPr="00A961F5" w:rsidRDefault="00CF7EF5">
      <w:pPr>
        <w:pStyle w:val="FootnoteText"/>
        <w:rPr>
          <w:rFonts w:asciiTheme="minorHAnsi" w:hAnsiTheme="minorHAnsi" w:cstheme="minorHAnsi"/>
          <w:sz w:val="16"/>
          <w:szCs w:val="16"/>
          <w:lang w:val="en-GB"/>
        </w:rPr>
      </w:pPr>
      <w:r w:rsidRPr="00A961F5">
        <w:rPr>
          <w:rStyle w:val="FootnoteReference"/>
          <w:rFonts w:asciiTheme="minorHAnsi" w:hAnsiTheme="minorHAnsi" w:cstheme="minorHAnsi"/>
          <w:sz w:val="16"/>
          <w:szCs w:val="16"/>
        </w:rPr>
        <w:footnoteRef/>
      </w:r>
      <w:r w:rsidRPr="00A961F5">
        <w:rPr>
          <w:rFonts w:asciiTheme="minorHAnsi" w:hAnsiTheme="minorHAnsi" w:cstheme="minorHAnsi"/>
          <w:sz w:val="16"/>
          <w:szCs w:val="16"/>
        </w:rPr>
        <w:t xml:space="preserve"> https://eur-lex.europa.eu/legal-content/EN/TXT/PDF/?uri=CELEX:42018Y1218(01)&amp;qid=1578414694481&amp;from=EN</w:t>
      </w:r>
    </w:p>
  </w:footnote>
  <w:footnote w:id="19">
    <w:p w14:paraId="6B51362F" w14:textId="69C5B542" w:rsidR="00CF7EF5" w:rsidRPr="00A961F5" w:rsidRDefault="00CF7EF5">
      <w:pPr>
        <w:pStyle w:val="FootnoteText"/>
        <w:rPr>
          <w:rFonts w:asciiTheme="minorHAnsi" w:hAnsiTheme="minorHAnsi" w:cstheme="minorHAnsi"/>
          <w:sz w:val="16"/>
          <w:szCs w:val="16"/>
          <w:lang w:val="en-GB"/>
        </w:rPr>
      </w:pPr>
      <w:r w:rsidRPr="00A961F5">
        <w:rPr>
          <w:rStyle w:val="FootnoteReference"/>
          <w:rFonts w:asciiTheme="minorHAnsi" w:hAnsiTheme="minorHAnsi" w:cstheme="minorHAnsi"/>
          <w:sz w:val="16"/>
          <w:szCs w:val="16"/>
        </w:rPr>
        <w:footnoteRef/>
      </w:r>
      <w:r w:rsidRPr="00A961F5">
        <w:rPr>
          <w:rFonts w:asciiTheme="minorHAnsi" w:hAnsiTheme="minorHAnsi" w:cstheme="minorHAnsi"/>
          <w:sz w:val="16"/>
          <w:szCs w:val="16"/>
        </w:rPr>
        <w:t xml:space="preserve"> https://eur-lex.europa.eu/legal-content/EN/TXT/?uri=CELEX%3A52020DC0625</w:t>
      </w:r>
    </w:p>
  </w:footnote>
  <w:footnote w:id="20">
    <w:p w14:paraId="102AFC31" w14:textId="77777777" w:rsidR="00CF7EF5" w:rsidRPr="00A961F5" w:rsidRDefault="00CF7EF5" w:rsidP="003D1C10">
      <w:pPr>
        <w:pStyle w:val="FootnoteText"/>
        <w:rPr>
          <w:rFonts w:asciiTheme="minorHAnsi" w:hAnsiTheme="minorHAnsi" w:cstheme="minorHAnsi"/>
          <w:sz w:val="16"/>
          <w:szCs w:val="16"/>
          <w:lang w:val="en-GB"/>
        </w:rPr>
      </w:pPr>
      <w:r w:rsidRPr="00A961F5">
        <w:rPr>
          <w:rStyle w:val="FootnoteReference"/>
          <w:rFonts w:asciiTheme="minorHAnsi" w:hAnsiTheme="minorHAnsi" w:cstheme="minorHAnsi"/>
          <w:sz w:val="16"/>
          <w:szCs w:val="16"/>
        </w:rPr>
        <w:footnoteRef/>
      </w:r>
      <w:r w:rsidRPr="00A961F5">
        <w:rPr>
          <w:rFonts w:asciiTheme="minorHAnsi" w:hAnsiTheme="minorHAnsi" w:cstheme="minorHAnsi"/>
          <w:sz w:val="16"/>
          <w:szCs w:val="16"/>
        </w:rPr>
        <w:t xml:space="preserve"> </w:t>
      </w:r>
      <w:hyperlink r:id="rId11" w:history="1">
        <w:r w:rsidRPr="00A961F5">
          <w:rPr>
            <w:rStyle w:val="Hyperlink"/>
            <w:rFonts w:asciiTheme="minorHAnsi" w:hAnsiTheme="minorHAnsi" w:cstheme="minorHAnsi"/>
            <w:sz w:val="16"/>
            <w:szCs w:val="16"/>
            <w:lang w:val="en-GB"/>
          </w:rPr>
          <w:t>https://eur-lex.europa.eu/legal-content/EN/TXT/PDF/?uri=CELEX:32018H0607(01)&amp;</w:t>
        </w:r>
      </w:hyperlink>
      <w:hyperlink r:id="rId12" w:history="1">
        <w:r w:rsidRPr="00A961F5">
          <w:rPr>
            <w:rStyle w:val="Hyperlink"/>
            <w:rFonts w:asciiTheme="minorHAnsi" w:hAnsiTheme="minorHAnsi" w:cstheme="minorHAnsi"/>
            <w:sz w:val="16"/>
            <w:szCs w:val="16"/>
            <w:lang w:val="en-GB"/>
          </w:rPr>
          <w:t>from=EN</w:t>
        </w:r>
      </w:hyperlink>
    </w:p>
    <w:p w14:paraId="637260C3" w14:textId="5DC5EF03" w:rsidR="00CF7EF5" w:rsidRPr="00A33C16" w:rsidRDefault="00CF7EF5">
      <w:pPr>
        <w:pStyle w:val="FootnoteText"/>
        <w:rP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6" w14:textId="77777777" w:rsidR="00CF7EF5" w:rsidRDefault="00CF7E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FA"/>
    <w:multiLevelType w:val="hybridMultilevel"/>
    <w:tmpl w:val="5530A2A8"/>
    <w:lvl w:ilvl="0" w:tplc="A50C4D28">
      <w:start w:val="1"/>
      <w:numFmt w:val="bullet"/>
      <w:lvlText w:val="•"/>
      <w:lvlJc w:val="left"/>
      <w:pPr>
        <w:tabs>
          <w:tab w:val="num" w:pos="720"/>
        </w:tabs>
        <w:ind w:left="720" w:hanging="360"/>
      </w:pPr>
      <w:rPr>
        <w:rFonts w:ascii="Arial" w:hAnsi="Arial" w:hint="default"/>
      </w:rPr>
    </w:lvl>
    <w:lvl w:ilvl="1" w:tplc="7AD6D15E" w:tentative="1">
      <w:start w:val="1"/>
      <w:numFmt w:val="bullet"/>
      <w:lvlText w:val="•"/>
      <w:lvlJc w:val="left"/>
      <w:pPr>
        <w:tabs>
          <w:tab w:val="num" w:pos="1440"/>
        </w:tabs>
        <w:ind w:left="1440" w:hanging="360"/>
      </w:pPr>
      <w:rPr>
        <w:rFonts w:ascii="Arial" w:hAnsi="Arial" w:hint="default"/>
      </w:rPr>
    </w:lvl>
    <w:lvl w:ilvl="2" w:tplc="BBE6D81C" w:tentative="1">
      <w:start w:val="1"/>
      <w:numFmt w:val="bullet"/>
      <w:lvlText w:val="•"/>
      <w:lvlJc w:val="left"/>
      <w:pPr>
        <w:tabs>
          <w:tab w:val="num" w:pos="2160"/>
        </w:tabs>
        <w:ind w:left="2160" w:hanging="360"/>
      </w:pPr>
      <w:rPr>
        <w:rFonts w:ascii="Arial" w:hAnsi="Arial" w:hint="default"/>
      </w:rPr>
    </w:lvl>
    <w:lvl w:ilvl="3" w:tplc="6CB60EDA" w:tentative="1">
      <w:start w:val="1"/>
      <w:numFmt w:val="bullet"/>
      <w:lvlText w:val="•"/>
      <w:lvlJc w:val="left"/>
      <w:pPr>
        <w:tabs>
          <w:tab w:val="num" w:pos="2880"/>
        </w:tabs>
        <w:ind w:left="2880" w:hanging="360"/>
      </w:pPr>
      <w:rPr>
        <w:rFonts w:ascii="Arial" w:hAnsi="Arial" w:hint="default"/>
      </w:rPr>
    </w:lvl>
    <w:lvl w:ilvl="4" w:tplc="0E24DA5C" w:tentative="1">
      <w:start w:val="1"/>
      <w:numFmt w:val="bullet"/>
      <w:lvlText w:val="•"/>
      <w:lvlJc w:val="left"/>
      <w:pPr>
        <w:tabs>
          <w:tab w:val="num" w:pos="3600"/>
        </w:tabs>
        <w:ind w:left="3600" w:hanging="360"/>
      </w:pPr>
      <w:rPr>
        <w:rFonts w:ascii="Arial" w:hAnsi="Arial" w:hint="default"/>
      </w:rPr>
    </w:lvl>
    <w:lvl w:ilvl="5" w:tplc="A4AE2DF0" w:tentative="1">
      <w:start w:val="1"/>
      <w:numFmt w:val="bullet"/>
      <w:lvlText w:val="•"/>
      <w:lvlJc w:val="left"/>
      <w:pPr>
        <w:tabs>
          <w:tab w:val="num" w:pos="4320"/>
        </w:tabs>
        <w:ind w:left="4320" w:hanging="360"/>
      </w:pPr>
      <w:rPr>
        <w:rFonts w:ascii="Arial" w:hAnsi="Arial" w:hint="default"/>
      </w:rPr>
    </w:lvl>
    <w:lvl w:ilvl="6" w:tplc="D33E7CC8" w:tentative="1">
      <w:start w:val="1"/>
      <w:numFmt w:val="bullet"/>
      <w:lvlText w:val="•"/>
      <w:lvlJc w:val="left"/>
      <w:pPr>
        <w:tabs>
          <w:tab w:val="num" w:pos="5040"/>
        </w:tabs>
        <w:ind w:left="5040" w:hanging="360"/>
      </w:pPr>
      <w:rPr>
        <w:rFonts w:ascii="Arial" w:hAnsi="Arial" w:hint="default"/>
      </w:rPr>
    </w:lvl>
    <w:lvl w:ilvl="7" w:tplc="75B2BEE6" w:tentative="1">
      <w:start w:val="1"/>
      <w:numFmt w:val="bullet"/>
      <w:lvlText w:val="•"/>
      <w:lvlJc w:val="left"/>
      <w:pPr>
        <w:tabs>
          <w:tab w:val="num" w:pos="5760"/>
        </w:tabs>
        <w:ind w:left="5760" w:hanging="360"/>
      </w:pPr>
      <w:rPr>
        <w:rFonts w:ascii="Arial" w:hAnsi="Arial" w:hint="default"/>
      </w:rPr>
    </w:lvl>
    <w:lvl w:ilvl="8" w:tplc="28F6ADC6" w:tentative="1">
      <w:start w:val="1"/>
      <w:numFmt w:val="bullet"/>
      <w:lvlText w:val="•"/>
      <w:lvlJc w:val="left"/>
      <w:pPr>
        <w:tabs>
          <w:tab w:val="num" w:pos="6480"/>
        </w:tabs>
        <w:ind w:left="6480" w:hanging="360"/>
      </w:pPr>
      <w:rPr>
        <w:rFonts w:ascii="Arial" w:hAnsi="Arial" w:hint="default"/>
      </w:rPr>
    </w:lvl>
  </w:abstractNum>
  <w:abstractNum w:abstractNumId="1">
    <w:nsid w:val="09164DC3"/>
    <w:multiLevelType w:val="multilevel"/>
    <w:tmpl w:val="12F8F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E3640F"/>
    <w:multiLevelType w:val="multilevel"/>
    <w:tmpl w:val="DF02E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0C05192"/>
    <w:multiLevelType w:val="hybridMultilevel"/>
    <w:tmpl w:val="05062E0E"/>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64EFE"/>
    <w:multiLevelType w:val="hybridMultilevel"/>
    <w:tmpl w:val="4680E944"/>
    <w:lvl w:ilvl="0" w:tplc="A1025C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1F4B52"/>
    <w:multiLevelType w:val="multilevel"/>
    <w:tmpl w:val="8384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BC0C1A"/>
    <w:multiLevelType w:val="hybridMultilevel"/>
    <w:tmpl w:val="F06A9EA0"/>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1337E"/>
    <w:multiLevelType w:val="multilevel"/>
    <w:tmpl w:val="50263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480C47D5"/>
    <w:multiLevelType w:val="multilevel"/>
    <w:tmpl w:val="13923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A4045D1"/>
    <w:multiLevelType w:val="hybridMultilevel"/>
    <w:tmpl w:val="6FA8195A"/>
    <w:lvl w:ilvl="0" w:tplc="2D1CFE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1411D"/>
    <w:multiLevelType w:val="multilevel"/>
    <w:tmpl w:val="7C36B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16B46B3"/>
    <w:multiLevelType w:val="multilevel"/>
    <w:tmpl w:val="F9F00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2FD7B50"/>
    <w:multiLevelType w:val="hybridMultilevel"/>
    <w:tmpl w:val="E4D2CC58"/>
    <w:lvl w:ilvl="0" w:tplc="C682DCD8">
      <w:start w:val="1"/>
      <w:numFmt w:val="bullet"/>
      <w:lvlText w:val="•"/>
      <w:lvlJc w:val="left"/>
      <w:pPr>
        <w:tabs>
          <w:tab w:val="num" w:pos="720"/>
        </w:tabs>
        <w:ind w:left="720" w:hanging="360"/>
      </w:pPr>
      <w:rPr>
        <w:rFonts w:ascii="Arial" w:hAnsi="Arial" w:hint="default"/>
      </w:rPr>
    </w:lvl>
    <w:lvl w:ilvl="1" w:tplc="CE0C4C22" w:tentative="1">
      <w:start w:val="1"/>
      <w:numFmt w:val="bullet"/>
      <w:lvlText w:val="•"/>
      <w:lvlJc w:val="left"/>
      <w:pPr>
        <w:tabs>
          <w:tab w:val="num" w:pos="1440"/>
        </w:tabs>
        <w:ind w:left="1440" w:hanging="360"/>
      </w:pPr>
      <w:rPr>
        <w:rFonts w:ascii="Arial" w:hAnsi="Arial" w:hint="default"/>
      </w:rPr>
    </w:lvl>
    <w:lvl w:ilvl="2" w:tplc="15D6FFE0" w:tentative="1">
      <w:start w:val="1"/>
      <w:numFmt w:val="bullet"/>
      <w:lvlText w:val="•"/>
      <w:lvlJc w:val="left"/>
      <w:pPr>
        <w:tabs>
          <w:tab w:val="num" w:pos="2160"/>
        </w:tabs>
        <w:ind w:left="2160" w:hanging="360"/>
      </w:pPr>
      <w:rPr>
        <w:rFonts w:ascii="Arial" w:hAnsi="Arial" w:hint="default"/>
      </w:rPr>
    </w:lvl>
    <w:lvl w:ilvl="3" w:tplc="B88C5F10" w:tentative="1">
      <w:start w:val="1"/>
      <w:numFmt w:val="bullet"/>
      <w:lvlText w:val="•"/>
      <w:lvlJc w:val="left"/>
      <w:pPr>
        <w:tabs>
          <w:tab w:val="num" w:pos="2880"/>
        </w:tabs>
        <w:ind w:left="2880" w:hanging="360"/>
      </w:pPr>
      <w:rPr>
        <w:rFonts w:ascii="Arial" w:hAnsi="Arial" w:hint="default"/>
      </w:rPr>
    </w:lvl>
    <w:lvl w:ilvl="4" w:tplc="66484CA0" w:tentative="1">
      <w:start w:val="1"/>
      <w:numFmt w:val="bullet"/>
      <w:lvlText w:val="•"/>
      <w:lvlJc w:val="left"/>
      <w:pPr>
        <w:tabs>
          <w:tab w:val="num" w:pos="3600"/>
        </w:tabs>
        <w:ind w:left="3600" w:hanging="360"/>
      </w:pPr>
      <w:rPr>
        <w:rFonts w:ascii="Arial" w:hAnsi="Arial" w:hint="default"/>
      </w:rPr>
    </w:lvl>
    <w:lvl w:ilvl="5" w:tplc="0ECAA444" w:tentative="1">
      <w:start w:val="1"/>
      <w:numFmt w:val="bullet"/>
      <w:lvlText w:val="•"/>
      <w:lvlJc w:val="left"/>
      <w:pPr>
        <w:tabs>
          <w:tab w:val="num" w:pos="4320"/>
        </w:tabs>
        <w:ind w:left="4320" w:hanging="360"/>
      </w:pPr>
      <w:rPr>
        <w:rFonts w:ascii="Arial" w:hAnsi="Arial" w:hint="default"/>
      </w:rPr>
    </w:lvl>
    <w:lvl w:ilvl="6" w:tplc="4E0EEDDA" w:tentative="1">
      <w:start w:val="1"/>
      <w:numFmt w:val="bullet"/>
      <w:lvlText w:val="•"/>
      <w:lvlJc w:val="left"/>
      <w:pPr>
        <w:tabs>
          <w:tab w:val="num" w:pos="5040"/>
        </w:tabs>
        <w:ind w:left="5040" w:hanging="360"/>
      </w:pPr>
      <w:rPr>
        <w:rFonts w:ascii="Arial" w:hAnsi="Arial" w:hint="default"/>
      </w:rPr>
    </w:lvl>
    <w:lvl w:ilvl="7" w:tplc="8BD4CF00" w:tentative="1">
      <w:start w:val="1"/>
      <w:numFmt w:val="bullet"/>
      <w:lvlText w:val="•"/>
      <w:lvlJc w:val="left"/>
      <w:pPr>
        <w:tabs>
          <w:tab w:val="num" w:pos="5760"/>
        </w:tabs>
        <w:ind w:left="5760" w:hanging="360"/>
      </w:pPr>
      <w:rPr>
        <w:rFonts w:ascii="Arial" w:hAnsi="Arial" w:hint="default"/>
      </w:rPr>
    </w:lvl>
    <w:lvl w:ilvl="8" w:tplc="EE6428F2" w:tentative="1">
      <w:start w:val="1"/>
      <w:numFmt w:val="bullet"/>
      <w:lvlText w:val="•"/>
      <w:lvlJc w:val="left"/>
      <w:pPr>
        <w:tabs>
          <w:tab w:val="num" w:pos="6480"/>
        </w:tabs>
        <w:ind w:left="6480" w:hanging="360"/>
      </w:pPr>
      <w:rPr>
        <w:rFonts w:ascii="Arial" w:hAnsi="Arial" w:hint="default"/>
      </w:rPr>
    </w:lvl>
  </w:abstractNum>
  <w:abstractNum w:abstractNumId="13">
    <w:nsid w:val="5BD53DF9"/>
    <w:multiLevelType w:val="hybridMultilevel"/>
    <w:tmpl w:val="88C8CE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E9556C"/>
    <w:multiLevelType w:val="multilevel"/>
    <w:tmpl w:val="BA6C73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0B383B"/>
    <w:multiLevelType w:val="multilevel"/>
    <w:tmpl w:val="CBFE8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796187E"/>
    <w:multiLevelType w:val="multilevel"/>
    <w:tmpl w:val="9EC0A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8E52F20"/>
    <w:multiLevelType w:val="multilevel"/>
    <w:tmpl w:val="32181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7FE075FE"/>
    <w:multiLevelType w:val="multilevel"/>
    <w:tmpl w:val="D39A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8"/>
  </w:num>
  <w:num w:numId="4">
    <w:abstractNumId w:val="15"/>
  </w:num>
  <w:num w:numId="5">
    <w:abstractNumId w:val="17"/>
  </w:num>
  <w:num w:numId="6">
    <w:abstractNumId w:val="5"/>
  </w:num>
  <w:num w:numId="7">
    <w:abstractNumId w:val="16"/>
  </w:num>
  <w:num w:numId="8">
    <w:abstractNumId w:val="10"/>
  </w:num>
  <w:num w:numId="9">
    <w:abstractNumId w:val="2"/>
  </w:num>
  <w:num w:numId="10">
    <w:abstractNumId w:val="11"/>
  </w:num>
  <w:num w:numId="11">
    <w:abstractNumId w:val="1"/>
  </w:num>
  <w:num w:numId="12">
    <w:abstractNumId w:val="3"/>
  </w:num>
  <w:num w:numId="13">
    <w:abstractNumId w:val="6"/>
  </w:num>
  <w:num w:numId="14">
    <w:abstractNumId w:val="9"/>
  </w:num>
  <w:num w:numId="15">
    <w:abstractNumId w:val="14"/>
  </w:num>
  <w:num w:numId="16">
    <w:abstractNumId w:val="0"/>
  </w:num>
  <w:num w:numId="17">
    <w:abstractNumId w:val="12"/>
  </w:num>
  <w:num w:numId="18">
    <w:abstractNumId w:val="1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J">
    <w15:presenceInfo w15:providerId="None" w15:userId="MR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51"/>
    <w:rsid w:val="0001394F"/>
    <w:rsid w:val="00060A7A"/>
    <w:rsid w:val="000839B4"/>
    <w:rsid w:val="000A0599"/>
    <w:rsid w:val="000C1A22"/>
    <w:rsid w:val="000E26D1"/>
    <w:rsid w:val="000E7564"/>
    <w:rsid w:val="000F73B4"/>
    <w:rsid w:val="00137202"/>
    <w:rsid w:val="00152A46"/>
    <w:rsid w:val="001853F8"/>
    <w:rsid w:val="001A79A2"/>
    <w:rsid w:val="001E01B4"/>
    <w:rsid w:val="001E2C81"/>
    <w:rsid w:val="002742D5"/>
    <w:rsid w:val="00274594"/>
    <w:rsid w:val="002C222A"/>
    <w:rsid w:val="0033079C"/>
    <w:rsid w:val="0033672C"/>
    <w:rsid w:val="00343DD5"/>
    <w:rsid w:val="003A0D5B"/>
    <w:rsid w:val="003B1266"/>
    <w:rsid w:val="003D1C10"/>
    <w:rsid w:val="003F1509"/>
    <w:rsid w:val="004068E4"/>
    <w:rsid w:val="00487F9B"/>
    <w:rsid w:val="0052109B"/>
    <w:rsid w:val="005275ED"/>
    <w:rsid w:val="005816D9"/>
    <w:rsid w:val="005A05DE"/>
    <w:rsid w:val="006C7415"/>
    <w:rsid w:val="00743000"/>
    <w:rsid w:val="00757A6B"/>
    <w:rsid w:val="007A0B0E"/>
    <w:rsid w:val="007C753F"/>
    <w:rsid w:val="007F75F2"/>
    <w:rsid w:val="008A19AD"/>
    <w:rsid w:val="008B3D86"/>
    <w:rsid w:val="008B4F84"/>
    <w:rsid w:val="008C25A6"/>
    <w:rsid w:val="008D4768"/>
    <w:rsid w:val="008E4CE2"/>
    <w:rsid w:val="009D58BD"/>
    <w:rsid w:val="009F4F2F"/>
    <w:rsid w:val="009F7CA7"/>
    <w:rsid w:val="00A33C16"/>
    <w:rsid w:val="00A961F5"/>
    <w:rsid w:val="00AB29E5"/>
    <w:rsid w:val="00AE0C68"/>
    <w:rsid w:val="00B82603"/>
    <w:rsid w:val="00B91921"/>
    <w:rsid w:val="00C1524E"/>
    <w:rsid w:val="00C768E2"/>
    <w:rsid w:val="00CE6A12"/>
    <w:rsid w:val="00CF7EF5"/>
    <w:rsid w:val="00D07151"/>
    <w:rsid w:val="00D92C5E"/>
    <w:rsid w:val="00EC2777"/>
    <w:rsid w:val="00F04E03"/>
    <w:rsid w:val="00F51950"/>
    <w:rsid w:val="00F74F0A"/>
    <w:rsid w:val="00F84F64"/>
    <w:rsid w:val="00F92FBA"/>
    <w:rsid w:val="00FC2C0E"/>
    <w:rsid w:val="00FC4E75"/>
    <w:rsid w:val="00FF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mk-MK"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43000"/>
    <w:pPr>
      <w:keepNext/>
      <w:keepLines/>
      <w:spacing w:before="480" w:after="120"/>
      <w:ind w:firstLine="720"/>
      <w:outlineLvl w:val="0"/>
    </w:pPr>
    <w:rPr>
      <w:b/>
      <w:sz w:val="48"/>
      <w:szCs w:val="48"/>
    </w:rPr>
  </w:style>
  <w:style w:type="paragraph" w:styleId="Heading2">
    <w:name w:val="heading 2"/>
    <w:basedOn w:val="Normal"/>
    <w:next w:val="Normal"/>
    <w:pPr>
      <w:keepNext/>
      <w:keepLines/>
      <w:numPr>
        <w:numId w:val="19"/>
      </w:numPr>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7A"/>
  </w:style>
  <w:style w:type="paragraph" w:styleId="Footer">
    <w:name w:val="footer"/>
    <w:basedOn w:val="Normal"/>
    <w:link w:val="FooterChar"/>
    <w:uiPriority w:val="99"/>
    <w:unhideWhenUsed/>
    <w:rsid w:val="004D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7A"/>
  </w:style>
  <w:style w:type="character" w:styleId="CommentReference">
    <w:name w:val="annotation reference"/>
    <w:basedOn w:val="DefaultParagraphFont"/>
    <w:uiPriority w:val="99"/>
    <w:semiHidden/>
    <w:unhideWhenUsed/>
    <w:rsid w:val="00B30504"/>
    <w:rPr>
      <w:sz w:val="16"/>
      <w:szCs w:val="16"/>
    </w:rPr>
  </w:style>
  <w:style w:type="paragraph" w:styleId="CommentText">
    <w:name w:val="annotation text"/>
    <w:basedOn w:val="Normal"/>
    <w:link w:val="CommentTextChar"/>
    <w:uiPriority w:val="99"/>
    <w:semiHidden/>
    <w:unhideWhenUsed/>
    <w:rsid w:val="00B30504"/>
    <w:pPr>
      <w:spacing w:line="240" w:lineRule="auto"/>
    </w:pPr>
    <w:rPr>
      <w:sz w:val="20"/>
      <w:szCs w:val="20"/>
    </w:rPr>
  </w:style>
  <w:style w:type="character" w:customStyle="1" w:styleId="CommentTextChar">
    <w:name w:val="Comment Text Char"/>
    <w:basedOn w:val="DefaultParagraphFont"/>
    <w:link w:val="CommentText"/>
    <w:uiPriority w:val="99"/>
    <w:semiHidden/>
    <w:rsid w:val="00B30504"/>
    <w:rPr>
      <w:sz w:val="20"/>
      <w:szCs w:val="20"/>
    </w:rPr>
  </w:style>
  <w:style w:type="paragraph" w:styleId="CommentSubject">
    <w:name w:val="annotation subject"/>
    <w:basedOn w:val="CommentText"/>
    <w:next w:val="CommentText"/>
    <w:link w:val="CommentSubjectChar"/>
    <w:uiPriority w:val="99"/>
    <w:semiHidden/>
    <w:unhideWhenUsed/>
    <w:rsid w:val="00B30504"/>
    <w:rPr>
      <w:b/>
      <w:bCs/>
    </w:rPr>
  </w:style>
  <w:style w:type="character" w:customStyle="1" w:styleId="CommentSubjectChar">
    <w:name w:val="Comment Subject Char"/>
    <w:basedOn w:val="CommentTextChar"/>
    <w:link w:val="CommentSubject"/>
    <w:uiPriority w:val="99"/>
    <w:semiHidden/>
    <w:rsid w:val="00B30504"/>
    <w:rPr>
      <w:b/>
      <w:bCs/>
      <w:sz w:val="20"/>
      <w:szCs w:val="20"/>
    </w:rPr>
  </w:style>
  <w:style w:type="paragraph" w:styleId="BalloonText">
    <w:name w:val="Balloon Text"/>
    <w:basedOn w:val="Normal"/>
    <w:link w:val="BalloonTextChar"/>
    <w:uiPriority w:val="99"/>
    <w:semiHidden/>
    <w:unhideWhenUsed/>
    <w:rsid w:val="00B3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04"/>
    <w:rPr>
      <w:rFonts w:ascii="Segoe UI" w:hAnsi="Segoe UI" w:cs="Segoe UI"/>
      <w:sz w:val="18"/>
      <w:szCs w:val="18"/>
    </w:rPr>
  </w:style>
  <w:style w:type="paragraph" w:styleId="ListParagraph">
    <w:name w:val="List Paragraph"/>
    <w:basedOn w:val="Normal"/>
    <w:uiPriority w:val="34"/>
    <w:qFormat/>
    <w:rsid w:val="00BA5A8E"/>
    <w:pPr>
      <w:ind w:left="720"/>
      <w:contextualSpacing/>
    </w:pPr>
  </w:style>
  <w:style w:type="table" w:customStyle="1" w:styleId="GridTable4Accent5">
    <w:name w:val="Grid Table 4 Accent 5"/>
    <w:basedOn w:val="TableNormal"/>
    <w:uiPriority w:val="49"/>
    <w:rsid w:val="0024250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BE34B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BE34BC"/>
  </w:style>
  <w:style w:type="character" w:styleId="Hyperlink">
    <w:name w:val="Hyperlink"/>
    <w:basedOn w:val="DefaultParagraphFont"/>
    <w:uiPriority w:val="99"/>
    <w:unhideWhenUsed/>
    <w:rsid w:val="00BE34BC"/>
    <w:rPr>
      <w:color w:val="0563C1" w:themeColor="hyperlink"/>
      <w:u w:val="single"/>
    </w:rPr>
  </w:style>
  <w:style w:type="paragraph" w:styleId="FootnoteText">
    <w:name w:val="footnote text"/>
    <w:basedOn w:val="Normal"/>
    <w:link w:val="FootnoteTextChar"/>
    <w:uiPriority w:val="99"/>
    <w:semiHidden/>
    <w:unhideWhenUsed/>
    <w:rsid w:val="00BE34BC"/>
    <w:pPr>
      <w:spacing w:after="0" w:line="240" w:lineRule="auto"/>
    </w:pPr>
    <w:rPr>
      <w:rFonts w:ascii="Arial" w:eastAsia="Arial" w:hAnsi="Arial" w:cs="Arial"/>
      <w:sz w:val="20"/>
      <w:szCs w:val="20"/>
      <w:lang w:eastAsia="en-MY"/>
    </w:rPr>
  </w:style>
  <w:style w:type="character" w:customStyle="1" w:styleId="FootnoteTextChar">
    <w:name w:val="Footnote Text Char"/>
    <w:basedOn w:val="DefaultParagraphFont"/>
    <w:link w:val="FootnoteText"/>
    <w:uiPriority w:val="99"/>
    <w:semiHidden/>
    <w:rsid w:val="00BE34BC"/>
    <w:rPr>
      <w:rFonts w:ascii="Arial" w:eastAsia="Arial" w:hAnsi="Arial" w:cs="Arial"/>
      <w:sz w:val="20"/>
      <w:szCs w:val="20"/>
      <w:lang w:eastAsia="en-MY"/>
    </w:rPr>
  </w:style>
  <w:style w:type="character" w:styleId="FootnoteReference">
    <w:name w:val="footnote reference"/>
    <w:basedOn w:val="DefaultParagraphFont"/>
    <w:uiPriority w:val="99"/>
    <w:semiHidden/>
    <w:unhideWhenUsed/>
    <w:rsid w:val="00BE34BC"/>
    <w:rPr>
      <w:vertAlign w:val="superscript"/>
    </w:rPr>
  </w:style>
  <w:style w:type="paragraph" w:styleId="TOCHeading">
    <w:name w:val="TOC Heading"/>
    <w:basedOn w:val="Heading1"/>
    <w:next w:val="Normal"/>
    <w:uiPriority w:val="39"/>
    <w:unhideWhenUsed/>
    <w:qFormat/>
    <w:rsid w:val="00BE34BC"/>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F3B57"/>
    <w:pPr>
      <w:tabs>
        <w:tab w:val="right" w:pos="10456"/>
      </w:tabs>
      <w:spacing w:after="100"/>
    </w:pPr>
  </w:style>
  <w:style w:type="paragraph" w:styleId="TOC3">
    <w:name w:val="toc 3"/>
    <w:basedOn w:val="Normal"/>
    <w:next w:val="Normal"/>
    <w:autoRedefine/>
    <w:uiPriority w:val="39"/>
    <w:unhideWhenUsed/>
    <w:rsid w:val="00BE34BC"/>
    <w:pPr>
      <w:spacing w:after="100"/>
      <w:ind w:left="440"/>
    </w:pPr>
  </w:style>
  <w:style w:type="paragraph" w:styleId="TOC2">
    <w:name w:val="toc 2"/>
    <w:basedOn w:val="Normal"/>
    <w:next w:val="Normal"/>
    <w:autoRedefine/>
    <w:uiPriority w:val="39"/>
    <w:unhideWhenUsed/>
    <w:rsid w:val="00BE34BC"/>
    <w:pPr>
      <w:spacing w:after="100"/>
      <w:ind w:left="220"/>
    </w:p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13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43000"/>
    <w:rPr>
      <w:b/>
      <w:sz w:val="48"/>
      <w:szCs w:val="48"/>
    </w:rPr>
  </w:style>
  <w:style w:type="paragraph" w:styleId="Revision">
    <w:name w:val="Revision"/>
    <w:hidden/>
    <w:uiPriority w:val="99"/>
    <w:semiHidden/>
    <w:rsid w:val="000F73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mk-MK"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43000"/>
    <w:pPr>
      <w:keepNext/>
      <w:keepLines/>
      <w:spacing w:before="480" w:after="120"/>
      <w:ind w:firstLine="720"/>
      <w:outlineLvl w:val="0"/>
    </w:pPr>
    <w:rPr>
      <w:b/>
      <w:sz w:val="48"/>
      <w:szCs w:val="48"/>
    </w:rPr>
  </w:style>
  <w:style w:type="paragraph" w:styleId="Heading2">
    <w:name w:val="heading 2"/>
    <w:basedOn w:val="Normal"/>
    <w:next w:val="Normal"/>
    <w:pPr>
      <w:keepNext/>
      <w:keepLines/>
      <w:numPr>
        <w:numId w:val="19"/>
      </w:numPr>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D3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7A"/>
  </w:style>
  <w:style w:type="paragraph" w:styleId="Footer">
    <w:name w:val="footer"/>
    <w:basedOn w:val="Normal"/>
    <w:link w:val="FooterChar"/>
    <w:uiPriority w:val="99"/>
    <w:unhideWhenUsed/>
    <w:rsid w:val="004D3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7A"/>
  </w:style>
  <w:style w:type="character" w:styleId="CommentReference">
    <w:name w:val="annotation reference"/>
    <w:basedOn w:val="DefaultParagraphFont"/>
    <w:uiPriority w:val="99"/>
    <w:semiHidden/>
    <w:unhideWhenUsed/>
    <w:rsid w:val="00B30504"/>
    <w:rPr>
      <w:sz w:val="16"/>
      <w:szCs w:val="16"/>
    </w:rPr>
  </w:style>
  <w:style w:type="paragraph" w:styleId="CommentText">
    <w:name w:val="annotation text"/>
    <w:basedOn w:val="Normal"/>
    <w:link w:val="CommentTextChar"/>
    <w:uiPriority w:val="99"/>
    <w:semiHidden/>
    <w:unhideWhenUsed/>
    <w:rsid w:val="00B30504"/>
    <w:pPr>
      <w:spacing w:line="240" w:lineRule="auto"/>
    </w:pPr>
    <w:rPr>
      <w:sz w:val="20"/>
      <w:szCs w:val="20"/>
    </w:rPr>
  </w:style>
  <w:style w:type="character" w:customStyle="1" w:styleId="CommentTextChar">
    <w:name w:val="Comment Text Char"/>
    <w:basedOn w:val="DefaultParagraphFont"/>
    <w:link w:val="CommentText"/>
    <w:uiPriority w:val="99"/>
    <w:semiHidden/>
    <w:rsid w:val="00B30504"/>
    <w:rPr>
      <w:sz w:val="20"/>
      <w:szCs w:val="20"/>
    </w:rPr>
  </w:style>
  <w:style w:type="paragraph" w:styleId="CommentSubject">
    <w:name w:val="annotation subject"/>
    <w:basedOn w:val="CommentText"/>
    <w:next w:val="CommentText"/>
    <w:link w:val="CommentSubjectChar"/>
    <w:uiPriority w:val="99"/>
    <w:semiHidden/>
    <w:unhideWhenUsed/>
    <w:rsid w:val="00B30504"/>
    <w:rPr>
      <w:b/>
      <w:bCs/>
    </w:rPr>
  </w:style>
  <w:style w:type="character" w:customStyle="1" w:styleId="CommentSubjectChar">
    <w:name w:val="Comment Subject Char"/>
    <w:basedOn w:val="CommentTextChar"/>
    <w:link w:val="CommentSubject"/>
    <w:uiPriority w:val="99"/>
    <w:semiHidden/>
    <w:rsid w:val="00B30504"/>
    <w:rPr>
      <w:b/>
      <w:bCs/>
      <w:sz w:val="20"/>
      <w:szCs w:val="20"/>
    </w:rPr>
  </w:style>
  <w:style w:type="paragraph" w:styleId="BalloonText">
    <w:name w:val="Balloon Text"/>
    <w:basedOn w:val="Normal"/>
    <w:link w:val="BalloonTextChar"/>
    <w:uiPriority w:val="99"/>
    <w:semiHidden/>
    <w:unhideWhenUsed/>
    <w:rsid w:val="00B30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04"/>
    <w:rPr>
      <w:rFonts w:ascii="Segoe UI" w:hAnsi="Segoe UI" w:cs="Segoe UI"/>
      <w:sz w:val="18"/>
      <w:szCs w:val="18"/>
    </w:rPr>
  </w:style>
  <w:style w:type="paragraph" w:styleId="ListParagraph">
    <w:name w:val="List Paragraph"/>
    <w:basedOn w:val="Normal"/>
    <w:uiPriority w:val="34"/>
    <w:qFormat/>
    <w:rsid w:val="00BA5A8E"/>
    <w:pPr>
      <w:ind w:left="720"/>
      <w:contextualSpacing/>
    </w:pPr>
  </w:style>
  <w:style w:type="table" w:customStyle="1" w:styleId="GridTable4Accent5">
    <w:name w:val="Grid Table 4 Accent 5"/>
    <w:basedOn w:val="TableNormal"/>
    <w:uiPriority w:val="49"/>
    <w:rsid w:val="0024250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BE34B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BE34BC"/>
  </w:style>
  <w:style w:type="character" w:styleId="Hyperlink">
    <w:name w:val="Hyperlink"/>
    <w:basedOn w:val="DefaultParagraphFont"/>
    <w:uiPriority w:val="99"/>
    <w:unhideWhenUsed/>
    <w:rsid w:val="00BE34BC"/>
    <w:rPr>
      <w:color w:val="0563C1" w:themeColor="hyperlink"/>
      <w:u w:val="single"/>
    </w:rPr>
  </w:style>
  <w:style w:type="paragraph" w:styleId="FootnoteText">
    <w:name w:val="footnote text"/>
    <w:basedOn w:val="Normal"/>
    <w:link w:val="FootnoteTextChar"/>
    <w:uiPriority w:val="99"/>
    <w:semiHidden/>
    <w:unhideWhenUsed/>
    <w:rsid w:val="00BE34BC"/>
    <w:pPr>
      <w:spacing w:after="0" w:line="240" w:lineRule="auto"/>
    </w:pPr>
    <w:rPr>
      <w:rFonts w:ascii="Arial" w:eastAsia="Arial" w:hAnsi="Arial" w:cs="Arial"/>
      <w:sz w:val="20"/>
      <w:szCs w:val="20"/>
      <w:lang w:eastAsia="en-MY"/>
    </w:rPr>
  </w:style>
  <w:style w:type="character" w:customStyle="1" w:styleId="FootnoteTextChar">
    <w:name w:val="Footnote Text Char"/>
    <w:basedOn w:val="DefaultParagraphFont"/>
    <w:link w:val="FootnoteText"/>
    <w:uiPriority w:val="99"/>
    <w:semiHidden/>
    <w:rsid w:val="00BE34BC"/>
    <w:rPr>
      <w:rFonts w:ascii="Arial" w:eastAsia="Arial" w:hAnsi="Arial" w:cs="Arial"/>
      <w:sz w:val="20"/>
      <w:szCs w:val="20"/>
      <w:lang w:eastAsia="en-MY"/>
    </w:rPr>
  </w:style>
  <w:style w:type="character" w:styleId="FootnoteReference">
    <w:name w:val="footnote reference"/>
    <w:basedOn w:val="DefaultParagraphFont"/>
    <w:uiPriority w:val="99"/>
    <w:semiHidden/>
    <w:unhideWhenUsed/>
    <w:rsid w:val="00BE34BC"/>
    <w:rPr>
      <w:vertAlign w:val="superscript"/>
    </w:rPr>
  </w:style>
  <w:style w:type="paragraph" w:styleId="TOCHeading">
    <w:name w:val="TOC Heading"/>
    <w:basedOn w:val="Heading1"/>
    <w:next w:val="Normal"/>
    <w:uiPriority w:val="39"/>
    <w:unhideWhenUsed/>
    <w:qFormat/>
    <w:rsid w:val="00BE34BC"/>
    <w:pPr>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F3B57"/>
    <w:pPr>
      <w:tabs>
        <w:tab w:val="right" w:pos="10456"/>
      </w:tabs>
      <w:spacing w:after="100"/>
    </w:pPr>
  </w:style>
  <w:style w:type="paragraph" w:styleId="TOC3">
    <w:name w:val="toc 3"/>
    <w:basedOn w:val="Normal"/>
    <w:next w:val="Normal"/>
    <w:autoRedefine/>
    <w:uiPriority w:val="39"/>
    <w:unhideWhenUsed/>
    <w:rsid w:val="00BE34BC"/>
    <w:pPr>
      <w:spacing w:after="100"/>
      <w:ind w:left="440"/>
    </w:pPr>
  </w:style>
  <w:style w:type="paragraph" w:styleId="TOC2">
    <w:name w:val="toc 2"/>
    <w:basedOn w:val="Normal"/>
    <w:next w:val="Normal"/>
    <w:autoRedefine/>
    <w:uiPriority w:val="39"/>
    <w:unhideWhenUsed/>
    <w:rsid w:val="00BE34BC"/>
    <w:pPr>
      <w:spacing w:after="100"/>
      <w:ind w:left="220"/>
    </w:p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styleId="TableGrid">
    <w:name w:val="Table Grid"/>
    <w:basedOn w:val="TableNormal"/>
    <w:uiPriority w:val="39"/>
    <w:rsid w:val="0013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43000"/>
    <w:rPr>
      <w:b/>
      <w:sz w:val="48"/>
      <w:szCs w:val="48"/>
    </w:rPr>
  </w:style>
  <w:style w:type="paragraph" w:styleId="Revision">
    <w:name w:val="Revision"/>
    <w:hidden/>
    <w:uiPriority w:val="99"/>
    <w:semiHidden/>
    <w:rsid w:val="000F7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6278">
      <w:bodyDiv w:val="1"/>
      <w:marLeft w:val="0"/>
      <w:marRight w:val="0"/>
      <w:marTop w:val="0"/>
      <w:marBottom w:val="0"/>
      <w:divBdr>
        <w:top w:val="none" w:sz="0" w:space="0" w:color="auto"/>
        <w:left w:val="none" w:sz="0" w:space="0" w:color="auto"/>
        <w:bottom w:val="none" w:sz="0" w:space="0" w:color="auto"/>
        <w:right w:val="none" w:sz="0" w:space="0" w:color="auto"/>
      </w:divBdr>
    </w:div>
    <w:div w:id="807550851">
      <w:bodyDiv w:val="1"/>
      <w:marLeft w:val="0"/>
      <w:marRight w:val="0"/>
      <w:marTop w:val="0"/>
      <w:marBottom w:val="0"/>
      <w:divBdr>
        <w:top w:val="none" w:sz="0" w:space="0" w:color="auto"/>
        <w:left w:val="none" w:sz="0" w:space="0" w:color="auto"/>
        <w:bottom w:val="none" w:sz="0" w:space="0" w:color="auto"/>
        <w:right w:val="none" w:sz="0" w:space="0" w:color="auto"/>
      </w:divBdr>
      <w:divsChild>
        <w:div w:id="148254354">
          <w:marLeft w:val="360"/>
          <w:marRight w:val="0"/>
          <w:marTop w:val="200"/>
          <w:marBottom w:val="0"/>
          <w:divBdr>
            <w:top w:val="none" w:sz="0" w:space="0" w:color="auto"/>
            <w:left w:val="none" w:sz="0" w:space="0" w:color="auto"/>
            <w:bottom w:val="none" w:sz="0" w:space="0" w:color="auto"/>
            <w:right w:val="none" w:sz="0" w:space="0" w:color="auto"/>
          </w:divBdr>
        </w:div>
      </w:divsChild>
    </w:div>
    <w:div w:id="937982621">
      <w:bodyDiv w:val="1"/>
      <w:marLeft w:val="0"/>
      <w:marRight w:val="0"/>
      <w:marTop w:val="0"/>
      <w:marBottom w:val="0"/>
      <w:divBdr>
        <w:top w:val="none" w:sz="0" w:space="0" w:color="auto"/>
        <w:left w:val="none" w:sz="0" w:space="0" w:color="auto"/>
        <w:bottom w:val="none" w:sz="0" w:space="0" w:color="auto"/>
        <w:right w:val="none" w:sz="0" w:space="0" w:color="auto"/>
      </w:divBdr>
      <w:divsChild>
        <w:div w:id="1973707097">
          <w:marLeft w:val="360"/>
          <w:marRight w:val="0"/>
          <w:marTop w:val="200"/>
          <w:marBottom w:val="0"/>
          <w:divBdr>
            <w:top w:val="none" w:sz="0" w:space="0" w:color="auto"/>
            <w:left w:val="none" w:sz="0" w:space="0" w:color="auto"/>
            <w:bottom w:val="none" w:sz="0" w:space="0" w:color="auto"/>
            <w:right w:val="none" w:sz="0" w:space="0" w:color="auto"/>
          </w:divBdr>
        </w:div>
      </w:divsChild>
    </w:div>
    <w:div w:id="1972126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themes/inclusion-in-education" TargetMode="External"/><Relationship Id="rId3" Type="http://schemas.openxmlformats.org/officeDocument/2006/relationships/hyperlink" Target="http://portal.unesco.org/en/ev.php-URL_ID=12949&amp;URL_DO=DO_TOPIC&amp;URL_SECTION=201.html" TargetMode="External"/><Relationship Id="rId7" Type="http://schemas.openxmlformats.org/officeDocument/2006/relationships/hyperlink" Target="https://en.unesco.org/themes/inclusion-in-education" TargetMode="External"/><Relationship Id="rId12" Type="http://schemas.openxmlformats.org/officeDocument/2006/relationships/hyperlink" Target="https://eur-lex.europa.eu/legal-content/EN/TXT/PDF/?uri=CELEX:32018H0607(01)&amp;from=EN" TargetMode="External"/><Relationship Id="rId2" Type="http://schemas.openxmlformats.org/officeDocument/2006/relationships/hyperlink" Target="http://portal.unesco.org/en/ev.php-URL_ID=12949&amp;URL_DO=DO_TOPIC&amp;URL_SECTION=201.html" TargetMode="External"/><Relationship Id="rId1" Type="http://schemas.openxmlformats.org/officeDocument/2006/relationships/hyperlink" Target="http://portal.unesco.org/en/ev.php-URL_ID=12949&amp;URL_DO=DO_TOPIC&amp;URL_SECTION=201.html" TargetMode="External"/><Relationship Id="rId6" Type="http://schemas.openxmlformats.org/officeDocument/2006/relationships/hyperlink" Target="https://en.unesco.org/themes/inclusion-in-education" TargetMode="External"/><Relationship Id="rId11" Type="http://schemas.openxmlformats.org/officeDocument/2006/relationships/hyperlink" Target="https://eur-lex.europa.eu/legal-content/EN/TXT/PDF/?uri=CELEX:32018H0607(01)&amp;from=EN" TargetMode="External"/><Relationship Id="rId5" Type="http://schemas.openxmlformats.org/officeDocument/2006/relationships/hyperlink" Target="https://search.coe.int/cm/Pages/result_details.aspx?ObjectID=09000016805d5287" TargetMode="External"/><Relationship Id="rId10" Type="http://schemas.openxmlformats.org/officeDocument/2006/relationships/hyperlink" Target="https://op.europa.eu/webpub/empl/european-pillar-of-social-rights/en/" TargetMode="External"/><Relationship Id="rId4" Type="http://schemas.openxmlformats.org/officeDocument/2006/relationships/hyperlink" Target="https://search.coe.int/cm/Pages/result_details.aspx?ObjectID=09000016805d5287" TargetMode="External"/><Relationship Id="rId9" Type="http://schemas.openxmlformats.org/officeDocument/2006/relationships/hyperlink" Target="https://op.europa.eu/webpub/empl/european-pillar-of-social-righ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XoHp4E+vr4T8zCjys/FNFpvaw==">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F96A63-87B5-4E2A-8AFB-7CF3D190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3907</Words>
  <Characters>22270</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Список на кратенки </vt:lpstr>
      <vt:lpstr>Introduction </vt:lpstr>
      <vt:lpstr>Глобална и европска рамка </vt:lpstr>
      <vt:lpstr>Рамка за застапување – теми и аргументи</vt:lpstr>
      <vt:lpstr>    Дискриминаторски и родово-стереотипни содржини во учебниците</vt:lpstr>
      <vt:lpstr>    Застапеност на принципите на родова еднаквост и недискриминација во наставните п</vt:lpstr>
      <vt:lpstr>    РБН и булинг во училиштата </vt:lpstr>
      <vt:lpstr>    Kапацитети за справување со РБН и булинг во училиштата </vt:lpstr>
      <vt:lpstr>Прилог: Извадоци од меѓународните документи релевантни за темите содржани во Рам</vt:lpstr>
    </vt:vector>
  </TitlesOfParts>
  <Company/>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 Ristevska Jordanova</dc:creator>
  <cp:lastModifiedBy>Stefan</cp:lastModifiedBy>
  <cp:revision>6</cp:revision>
  <dcterms:created xsi:type="dcterms:W3CDTF">2021-11-25T12:47:00Z</dcterms:created>
  <dcterms:modified xsi:type="dcterms:W3CDTF">2022-02-01T11:01:00Z</dcterms:modified>
</cp:coreProperties>
</file>